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"СТЕКЛОГРАД";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руб.;
Ликвидность прав требований включенных в состав Лота № 1 не является подтвержденной.
Начальная цена продажи на торгах – 464 925,60 (Четыреста шестьдесят четыре тысячи девятьсот двадцать пять) рублей 60 копеек, без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464 925.60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"СТЕКЛОГРАД".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