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69:10:0000025:1239, площадью 5 019м2, категория земель: Земли населённых пунктов (Для индивидуального жилищного строительства), Местоположение установлено относительно ориентира, расположенного в границах участка. Почтовый адрес ориентира: обл.Тверская, р-н Калининский, с/п Бурашевское, в районе д. Бол. Куркино.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1 307 700.00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6199–ОТПП/2/27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20:12:27;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149 078.00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20:12:27.981542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149 078.00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