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6192–ОАЗФ/2/2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Кран железнодорожный КДЭ-253, нерабочий с грейферным механизмом, расположенный по адресу: Новосибирская область, г.Новосибирск, ул. Электровозная, 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721 666.67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6192–ОАЗФ/1/2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Колпаков Александр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(ИНН:434584345540)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736166.67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09:33:16;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Мухаметшин Ильдар Салимьянович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(ИНН:741508157343)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722000.00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13:16:43;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(ОГРН:1175476086037)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927350.00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17:58:48;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927 350.00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736 166.67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Колпаков Александр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610021, г.Киров, ул.Маршала Конева, д.7, кв.120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736 166.67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630041 г. Новосибирск, ул. 2-я Станционная 30, корпус 8, офис 25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927 350.00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