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6120–ОТПП/2/24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24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«12»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6120-ОТПП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24</w:t>
      </w:r>
      <w:r>
        <w:rPr>
          <w:rFonts w:eastAsia="Times New Roman"/>
        </w:rPr>
        <w:t>: Грузовой УАЗ-390995, № кузова (кабины, прицепа) 39090090106411, модель двигателя 409100, 2009 г.в., Гос. и рег. знак Х 528 ХУ 42, VIN XTT390995A0485018.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208 986.75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06.09.2022 12:00:00 ⇆ 09.09.2022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6120–ОТПП/2/24</w:t>
      </w:r>
      <w:r>
        <w:rPr/>
        <w:t xml:space="preserve"> от </w:t>
      </w:r>
      <w:r>
        <w:rPr>
          <w:u w:val="single"/>
        </w:rPr>
        <w:t>«12» сентября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Фертих Андрей Генрихович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(ИНН:242101288189)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«9»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11:44:48;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майдуров павел олегович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(ИНН:422036589972)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«9»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10:41:13;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Муравьев Василий Евгеньевич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(ИНН:701748046786)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«9»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08:07:41;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Общество с ограниченной ответственностью "ГАЛЕКС и К"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(ОГРН:1175476049539)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«8»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15:31:04;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Гросман Константин Николаевич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(ИНН:250801094368)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«8»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06:05:04;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Фертих Андрей Генрихович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12:00:00 ⇆ 09.09.2022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09.09.2022 11:44:48.952340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майдуров павел олегович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110 234.00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12:00:00 ⇆ 09.09.2022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09.09.2022 10:41:13.708049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Муравьев Василий Евгеньевич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115 666.00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12:00:00 ⇆ 09.09.2022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09.09.2022 08:07:41.112391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"ГАЛЕКС и К"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12:00:00 ⇆ 09.09.2022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08.09.2022 15:31:04.137932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Гросман Константин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12:00:00 ⇆ 09.09.2022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08.09.2022 06:05:04.696323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Гросман Константин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650066, КЕМЕРОВСКАЯ ОБЛ., Г. КЕМЕРОВО, ЦЕНТРАЛЬНЫЙ Р-Н, УЛ.СПОРТИВНАЯ, Д. 34а, КВ.320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В случае отказа или уклонения победителя торгов от подписания договора купли-продажи имущества в течение 5 дней с даты получения предложения конкурсного управляющего о заключении такого договора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