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5951F0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5951F0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5951F0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г. ________________ </w:t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EF520D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5951F0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5951F0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  <w:lang w:eastAsia="ru-RU"/>
        </w:rPr>
        <w:t>АГАТ</w:t>
      </w:r>
      <w:r w:rsidRPr="005951F0">
        <w:rPr>
          <w:rFonts w:ascii="Times New Roman" w:hAnsi="Times New Roman"/>
          <w:sz w:val="20"/>
          <w:lang w:eastAsia="ru-RU"/>
        </w:rPr>
        <w:t>»</w:t>
      </w:r>
      <w:r w:rsidR="005951F0" w:rsidRPr="005951F0">
        <w:rPr>
          <w:rFonts w:ascii="Times New Roman" w:hAnsi="Times New Roman"/>
          <w:sz w:val="20"/>
          <w:lang w:eastAsia="ru-RU"/>
        </w:rPr>
        <w:t xml:space="preserve"> в лице генерального директора Корниенко Виктории Валерьевны</w:t>
      </w:r>
      <w:r w:rsidR="00DB36A6" w:rsidRPr="005951F0">
        <w:rPr>
          <w:rFonts w:ascii="Times New Roman" w:hAnsi="Times New Roman"/>
          <w:sz w:val="20"/>
          <w:lang w:eastAsia="ru-RU"/>
        </w:rPr>
        <w:t>,</w:t>
      </w:r>
      <w:r w:rsidRPr="005951F0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5951F0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5951F0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AA41DD" w:rsidRPr="005951F0">
        <w:rPr>
          <w:rFonts w:ascii="Times New Roman" w:hAnsi="Times New Roman"/>
          <w:bCs/>
          <w:iCs/>
          <w:sz w:val="20"/>
          <w:lang w:eastAsia="ru-RU"/>
        </w:rPr>
        <w:t>Общество с ограниченной ответственностью «НЕФТОН»</w:t>
      </w:r>
      <w:r w:rsidR="00AA41DD" w:rsidRPr="005951F0">
        <w:rPr>
          <w:rFonts w:ascii="Times New Roman" w:hAnsi="Times New Roman"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5951F0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5951F0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5951F0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5951F0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5951F0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1.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5951F0">
        <w:rPr>
          <w:rFonts w:ascii="Times New Roman" w:hAnsi="Times New Roman"/>
          <w:bCs/>
          <w:sz w:val="20"/>
          <w:lang w:eastAsia="ru-RU"/>
        </w:rPr>
        <w:t>ООО «НЕФТОН»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Pr="005951F0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AE07A2">
        <w:rPr>
          <w:rFonts w:ascii="Times New Roman" w:hAnsi="Times New Roman"/>
          <w:sz w:val="20"/>
          <w:lang w:eastAsia="ru-RU"/>
        </w:rPr>
        <w:t>20</w:t>
      </w:r>
      <w:bookmarkStart w:id="0" w:name="_GoBack"/>
      <w:bookmarkEnd w:id="0"/>
      <w:r w:rsidRPr="005951F0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5951F0">
        <w:rPr>
          <w:rFonts w:ascii="Times New Roman" w:hAnsi="Times New Roman"/>
          <w:sz w:val="20"/>
          <w:lang w:eastAsia="ru-RU"/>
        </w:rPr>
        <w:t>»</w:t>
      </w:r>
      <w:r w:rsidRPr="005951F0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5951F0">
        <w:rPr>
          <w:rFonts w:ascii="Times New Roman" w:hAnsi="Times New Roman"/>
          <w:sz w:val="20"/>
          <w:lang w:eastAsia="ru-RU"/>
        </w:rPr>
        <w:t>Организатор торгов</w:t>
      </w:r>
      <w:r w:rsidRPr="005951F0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5951F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951F0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5951F0">
        <w:rPr>
          <w:sz w:val="20"/>
          <w:szCs w:val="20"/>
        </w:rPr>
        <w:t xml:space="preserve"> купли-продажи, а также оплате П</w:t>
      </w:r>
      <w:r w:rsidRPr="005951F0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495998" w:rsidRPr="005951F0">
        <w:rPr>
          <w:color w:val="000000"/>
          <w:sz w:val="20"/>
          <w:szCs w:val="20"/>
        </w:rPr>
        <w:t xml:space="preserve">электронной торговой площадке </w:t>
      </w:r>
      <w:r w:rsidR="008F3AF8">
        <w:fldChar w:fldCharType="begin"/>
      </w:r>
      <w:r w:rsidR="008F3AF8">
        <w:instrText>HYPERLINK "http://www.торговая-площадка-вэтп.рф"</w:instrText>
      </w:r>
      <w:r w:rsidR="008F3AF8">
        <w:fldChar w:fldCharType="separate"/>
      </w:r>
      <w:r w:rsidR="00495998" w:rsidRPr="005951F0">
        <w:rPr>
          <w:rStyle w:val="af0"/>
          <w:sz w:val="20"/>
          <w:szCs w:val="20"/>
          <w:u w:val="none"/>
        </w:rPr>
        <w:t>http://www.торговая-площадка-вэтп.рф</w:t>
      </w:r>
      <w:proofErr w:type="gramStart"/>
      <w:r w:rsidR="008F3AF8">
        <w:fldChar w:fldCharType="end"/>
      </w:r>
      <w:r w:rsidR="00EF520D">
        <w:t>.</w:t>
      </w:r>
      <w:proofErr w:type="gramEnd"/>
      <w:r w:rsidR="00495998" w:rsidRPr="005951F0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5951F0">
        <w:rPr>
          <w:color w:val="000000"/>
          <w:sz w:val="20"/>
          <w:szCs w:val="20"/>
        </w:rPr>
        <w:t>(</w:t>
      </w:r>
      <w:r w:rsidR="00495998" w:rsidRPr="005951F0">
        <w:rPr>
          <w:sz w:val="20"/>
          <w:szCs w:val="20"/>
          <w:lang w:eastAsia="ar-SA"/>
        </w:rPr>
        <w:t>ОГРН: 1126230004449, ИНН: 6230079253)</w:t>
      </w:r>
      <w:r w:rsidR="00495998" w:rsidRPr="005951F0">
        <w:rPr>
          <w:color w:val="000000"/>
          <w:sz w:val="20"/>
          <w:szCs w:val="20"/>
        </w:rPr>
        <w:t xml:space="preserve"> (далее по тексту ООО «ВЭТП»</w:t>
      </w:r>
      <w:r w:rsidR="00495998" w:rsidRPr="005951F0">
        <w:rPr>
          <w:sz w:val="20"/>
          <w:szCs w:val="20"/>
          <w:lang w:eastAsia="ar-SA"/>
        </w:rPr>
        <w:t>).</w:t>
      </w:r>
    </w:p>
    <w:p w:rsidR="000C3ACD" w:rsidRPr="005951F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2.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5951F0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5951F0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5951F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51F0">
        <w:rPr>
          <w:b/>
          <w:color w:val="FF0000"/>
          <w:sz w:val="20"/>
          <w:szCs w:val="20"/>
        </w:rPr>
        <w:t>Получатель: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5951F0">
        <w:rPr>
          <w:rFonts w:ascii="Times New Roman" w:hAnsi="Times New Roman"/>
          <w:b/>
          <w:sz w:val="20"/>
        </w:rPr>
        <w:t>АГАТ</w:t>
      </w:r>
      <w:r w:rsidRPr="005951F0">
        <w:rPr>
          <w:rFonts w:ascii="Times New Roman" w:hAnsi="Times New Roman"/>
          <w:b/>
          <w:sz w:val="20"/>
        </w:rPr>
        <w:t>»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5951F0">
        <w:rPr>
          <w:rFonts w:ascii="Times New Roman" w:hAnsi="Times New Roman"/>
          <w:bCs/>
          <w:sz w:val="20"/>
        </w:rPr>
        <w:t>Почтовый адрес: 105082, г.Москва, а/я 150</w:t>
      </w:r>
    </w:p>
    <w:p w:rsidR="00321CD7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bCs/>
          <w:sz w:val="20"/>
        </w:rPr>
        <w:t xml:space="preserve">ОГРН </w:t>
      </w:r>
      <w:r w:rsidR="00321CD7" w:rsidRPr="005951F0">
        <w:rPr>
          <w:rFonts w:ascii="Times New Roman" w:hAnsi="Times New Roman"/>
          <w:sz w:val="20"/>
        </w:rPr>
        <w:t>1217700218449</w:t>
      </w:r>
      <w:r w:rsidRPr="005951F0">
        <w:rPr>
          <w:rFonts w:ascii="Times New Roman" w:hAnsi="Times New Roman"/>
          <w:bCs/>
          <w:sz w:val="20"/>
        </w:rPr>
        <w:t xml:space="preserve">, </w:t>
      </w:r>
      <w:r w:rsidRPr="005951F0">
        <w:rPr>
          <w:rFonts w:ascii="Times New Roman" w:hAnsi="Times New Roman"/>
          <w:sz w:val="20"/>
        </w:rPr>
        <w:t xml:space="preserve">ИНН </w:t>
      </w:r>
      <w:r w:rsidR="00321CD7" w:rsidRPr="005951F0">
        <w:rPr>
          <w:rFonts w:ascii="Times New Roman" w:hAnsi="Times New Roman"/>
          <w:sz w:val="20"/>
        </w:rPr>
        <w:t>9719015411</w:t>
      </w:r>
      <w:r w:rsidRPr="005951F0">
        <w:rPr>
          <w:rFonts w:ascii="Times New Roman" w:hAnsi="Times New Roman"/>
          <w:sz w:val="20"/>
        </w:rPr>
        <w:t xml:space="preserve">, КПП </w:t>
      </w:r>
      <w:r w:rsidR="00321CD7" w:rsidRPr="005951F0">
        <w:rPr>
          <w:rFonts w:ascii="Times New Roman" w:hAnsi="Times New Roman"/>
          <w:sz w:val="20"/>
        </w:rPr>
        <w:t>771901001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color w:val="000000"/>
          <w:sz w:val="20"/>
        </w:rPr>
      </w:pPr>
      <w:r w:rsidRPr="005951F0">
        <w:rPr>
          <w:rFonts w:ascii="Times New Roman" w:hAnsi="Times New Roman"/>
          <w:color w:val="000000"/>
          <w:sz w:val="20"/>
        </w:rPr>
        <w:t>Банковские реквизиты:</w:t>
      </w:r>
    </w:p>
    <w:p w:rsidR="008D397F" w:rsidRPr="005951F0" w:rsidRDefault="008D397F" w:rsidP="00321CD7">
      <w:pPr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 xml:space="preserve">р/с № </w:t>
      </w:r>
      <w:r w:rsidR="00321CD7" w:rsidRPr="005951F0">
        <w:rPr>
          <w:rFonts w:ascii="Times New Roman" w:hAnsi="Times New Roman"/>
          <w:sz w:val="20"/>
          <w:lang w:eastAsia="ru-RU"/>
        </w:rPr>
        <w:t>40702810500000027568</w:t>
      </w:r>
      <w:r w:rsidRPr="005951F0">
        <w:rPr>
          <w:rFonts w:ascii="Times New Roman" w:hAnsi="Times New Roman"/>
          <w:sz w:val="20"/>
        </w:rPr>
        <w:t xml:space="preserve"> в </w:t>
      </w:r>
      <w:r w:rsidR="00321CD7" w:rsidRPr="005951F0">
        <w:rPr>
          <w:rFonts w:ascii="Times New Roman" w:hAnsi="Times New Roman"/>
          <w:sz w:val="20"/>
          <w:lang w:eastAsia="ru-RU"/>
        </w:rPr>
        <w:t xml:space="preserve"> БАНКЕ ГПБ (АО) </w:t>
      </w:r>
      <w:r w:rsidRPr="005951F0">
        <w:rPr>
          <w:rFonts w:ascii="Times New Roman" w:hAnsi="Times New Roman"/>
          <w:sz w:val="20"/>
        </w:rPr>
        <w:t>г</w:t>
      </w:r>
      <w:proofErr w:type="gramStart"/>
      <w:r w:rsidRPr="005951F0">
        <w:rPr>
          <w:rFonts w:ascii="Times New Roman" w:hAnsi="Times New Roman"/>
          <w:sz w:val="20"/>
        </w:rPr>
        <w:t>.М</w:t>
      </w:r>
      <w:proofErr w:type="gramEnd"/>
      <w:r w:rsidRPr="005951F0">
        <w:rPr>
          <w:rFonts w:ascii="Times New Roman" w:hAnsi="Times New Roman"/>
          <w:sz w:val="20"/>
        </w:rPr>
        <w:t>осква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БИК 044525823</w:t>
      </w:r>
    </w:p>
    <w:p w:rsidR="008D397F" w:rsidRPr="005951F0" w:rsidRDefault="008D397F" w:rsidP="001147E0">
      <w:pPr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к/с № 30101810200000000823</w:t>
      </w:r>
    </w:p>
    <w:p w:rsidR="000C3ACD" w:rsidRPr="005951F0" w:rsidRDefault="000C3ACD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«Задаток за участие в торгах по продаже имущества </w:t>
      </w:r>
      <w:r w:rsidR="00AA41DD" w:rsidRPr="005951F0">
        <w:rPr>
          <w:rFonts w:ascii="Times New Roman" w:hAnsi="Times New Roman"/>
          <w:color w:val="000000"/>
          <w:sz w:val="20"/>
          <w:lang w:eastAsia="ru-RU"/>
        </w:rPr>
        <w:t xml:space="preserve">ООО «НЕФТОН»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по Лоту №___». </w:t>
      </w:r>
      <w:r w:rsidRPr="005951F0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5951F0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3.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- </w:t>
      </w:r>
      <w:r w:rsidRPr="005951F0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5951F0">
        <w:rPr>
          <w:rFonts w:ascii="Times New Roman" w:hAnsi="Times New Roman"/>
          <w:sz w:val="20"/>
          <w:lang w:eastAsia="ru-RU"/>
        </w:rPr>
        <w:t>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5951F0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5951F0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5951F0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4.</w:t>
      </w:r>
      <w:r w:rsidR="000C3ACD" w:rsidRPr="005951F0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5951F0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5951F0" w:rsidRDefault="000C3ACD" w:rsidP="001147E0">
      <w:pPr>
        <w:ind w:left="1080"/>
        <w:rPr>
          <w:rFonts w:ascii="Times New Roman" w:hAnsi="Times New Roman"/>
          <w:sz w:val="20"/>
        </w:rPr>
      </w:pPr>
    </w:p>
    <w:p w:rsidR="000C3ACD" w:rsidRPr="005951F0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</w:rPr>
        <w:t>5.</w:t>
      </w:r>
      <w:r w:rsidR="000C3ACD" w:rsidRPr="005951F0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5951F0" w:rsidTr="008B7348">
        <w:tc>
          <w:tcPr>
            <w:tcW w:w="5040" w:type="dxa"/>
          </w:tcPr>
          <w:p w:rsidR="000C3ACD" w:rsidRPr="005951F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5951F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951F0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5951F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5951F0" w:rsidTr="008B7348">
        <w:tc>
          <w:tcPr>
            <w:tcW w:w="5040" w:type="dxa"/>
          </w:tcPr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5951F0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</w:t>
            </w:r>
            <w:r w:rsidR="00321CD7" w:rsidRPr="005951F0">
              <w:rPr>
                <w:rFonts w:ascii="Times New Roman" w:hAnsi="Times New Roman"/>
                <w:b/>
                <w:sz w:val="20"/>
              </w:rPr>
              <w:t>АГАТ</w:t>
            </w:r>
            <w:r w:rsidRPr="005951F0">
              <w:rPr>
                <w:rFonts w:ascii="Times New Roman" w:hAnsi="Times New Roman"/>
                <w:b/>
                <w:sz w:val="20"/>
              </w:rPr>
              <w:t>»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5951F0">
              <w:rPr>
                <w:rFonts w:ascii="Times New Roman" w:hAnsi="Times New Roman"/>
                <w:bCs/>
                <w:sz w:val="20"/>
              </w:rPr>
              <w:t>Почтовый адрес: 105082, г.Москва, а/я 150</w:t>
            </w:r>
          </w:p>
          <w:p w:rsidR="00AF633D" w:rsidRPr="005951F0" w:rsidRDefault="00321CD7" w:rsidP="001147E0">
            <w:pPr>
              <w:jc w:val="both"/>
              <w:rPr>
                <w:rFonts w:ascii="Times New Roman" w:hAnsi="Times New Roman"/>
                <w:sz w:val="20"/>
              </w:rPr>
            </w:pPr>
            <w:r w:rsidRPr="005951F0">
              <w:rPr>
                <w:rFonts w:ascii="Times New Roman" w:hAnsi="Times New Roman"/>
                <w:sz w:val="20"/>
              </w:rPr>
              <w:t>ОГРН 1217700218449</w:t>
            </w:r>
            <w:r w:rsidR="00AF633D" w:rsidRPr="005951F0"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ИНН 9719015411</w:t>
            </w:r>
            <w:r w:rsidR="00AF633D" w:rsidRPr="005951F0">
              <w:rPr>
                <w:rFonts w:ascii="Times New Roman" w:hAnsi="Times New Roman"/>
                <w:sz w:val="20"/>
              </w:rPr>
              <w:t xml:space="preserve">, </w:t>
            </w:r>
            <w:r w:rsidRPr="005951F0">
              <w:rPr>
                <w:rFonts w:ascii="Times New Roman" w:hAnsi="Times New Roman"/>
                <w:sz w:val="20"/>
              </w:rPr>
              <w:t>КПП 771901001</w:t>
            </w:r>
          </w:p>
          <w:p w:rsidR="00AF633D" w:rsidRPr="005951F0" w:rsidRDefault="00AF633D" w:rsidP="001147E0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5951F0"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Расчетный счет 40702810500000027568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В БАНКЕ ГПБ (АО)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БИК 044525823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Корр. счет 3010181020000000823</w:t>
            </w:r>
          </w:p>
          <w:p w:rsidR="00321CD7" w:rsidRPr="005951F0" w:rsidRDefault="00321CD7" w:rsidP="00321CD7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sz w:val="20"/>
                <w:lang w:eastAsia="ru-RU"/>
              </w:rPr>
              <w:t>Юридический адрес: 107023, г. Москва, вн</w:t>
            </w:r>
            <w:proofErr w:type="gramStart"/>
            <w:r w:rsidRPr="005951F0">
              <w:rPr>
                <w:rFonts w:ascii="Times New Roman" w:hAnsi="Times New Roman"/>
                <w:sz w:val="20"/>
                <w:lang w:eastAsia="ru-RU"/>
              </w:rPr>
              <w:t>.т</w:t>
            </w:r>
            <w:proofErr w:type="gramEnd"/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ер.г. муниципальный округ Соколиная гора, </w:t>
            </w:r>
            <w:proofErr w:type="spellStart"/>
            <w:r w:rsidRPr="005951F0">
              <w:rPr>
                <w:rFonts w:ascii="Times New Roman" w:hAnsi="Times New Roman"/>
                <w:sz w:val="20"/>
                <w:lang w:eastAsia="ru-RU"/>
              </w:rPr>
              <w:t>ул</w:t>
            </w:r>
            <w:proofErr w:type="spellEnd"/>
            <w:r w:rsidRPr="005951F0">
              <w:rPr>
                <w:rFonts w:ascii="Times New Roman" w:hAnsi="Times New Roman"/>
                <w:sz w:val="20"/>
                <w:lang w:eastAsia="ru-RU"/>
              </w:rPr>
              <w:t xml:space="preserve"> Большая Семёновская, д. 40, стр. 4, офис 301</w:t>
            </w:r>
          </w:p>
          <w:p w:rsidR="00495998" w:rsidRPr="005951F0" w:rsidRDefault="00495998" w:rsidP="001147E0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AF633D" w:rsidRPr="005951F0" w:rsidRDefault="00AF633D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F3E67" w:rsidRPr="005951F0" w:rsidRDefault="007F3E67" w:rsidP="001147E0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5951F0" w:rsidRDefault="00495998" w:rsidP="004E2EAD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___________________/</w:t>
            </w:r>
            <w:r w:rsidR="005951F0" w:rsidRPr="005951F0">
              <w:rPr>
                <w:rFonts w:ascii="Times New Roman" w:hAnsi="Times New Roman"/>
                <w:b/>
                <w:sz w:val="20"/>
                <w:lang w:eastAsia="ru-RU"/>
              </w:rPr>
              <w:t>В.В. Корниенко/</w:t>
            </w: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5951F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5951F0" w:rsidRDefault="007D4B8A" w:rsidP="001147E0">
      <w:pPr>
        <w:rPr>
          <w:rFonts w:ascii="Times New Roman" w:hAnsi="Times New Roman"/>
          <w:sz w:val="20"/>
        </w:rPr>
      </w:pPr>
    </w:p>
    <w:sectPr w:rsidR="007D4B8A" w:rsidRPr="005951F0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8F3AF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8F3AF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F520D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70FEF"/>
    <w:rsid w:val="001E797D"/>
    <w:rsid w:val="002267F2"/>
    <w:rsid w:val="0026612D"/>
    <w:rsid w:val="00321CD7"/>
    <w:rsid w:val="00335CF6"/>
    <w:rsid w:val="00337CAC"/>
    <w:rsid w:val="00495998"/>
    <w:rsid w:val="004B15F9"/>
    <w:rsid w:val="004E2EAD"/>
    <w:rsid w:val="005373B8"/>
    <w:rsid w:val="005571CC"/>
    <w:rsid w:val="005951F0"/>
    <w:rsid w:val="006009CC"/>
    <w:rsid w:val="00604396"/>
    <w:rsid w:val="00703486"/>
    <w:rsid w:val="007679FD"/>
    <w:rsid w:val="007A17F7"/>
    <w:rsid w:val="007D4B8A"/>
    <w:rsid w:val="007F3E67"/>
    <w:rsid w:val="0087651A"/>
    <w:rsid w:val="00881293"/>
    <w:rsid w:val="008877E3"/>
    <w:rsid w:val="008B7348"/>
    <w:rsid w:val="008D397F"/>
    <w:rsid w:val="008F3AF8"/>
    <w:rsid w:val="00955965"/>
    <w:rsid w:val="009602FC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8686A"/>
    <w:rsid w:val="00EA05F8"/>
    <w:rsid w:val="00EB2D6A"/>
    <w:rsid w:val="00EB33AF"/>
    <w:rsid w:val="00ED7EB1"/>
    <w:rsid w:val="00EF0DEA"/>
    <w:rsid w:val="00EF520D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2022-08-16T13:35:00Z</dcterms:created>
  <dcterms:modified xsi:type="dcterms:W3CDTF">2022-08-16T13:35:00Z</dcterms:modified>
</cp:coreProperties>
</file>