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5113–ОТПП/1/6</w:t>
      </w:r>
    </w:p>
    <w:p>
      <w:pPr>
        <w:pStyle w:val="Title"/>
        <w:spacing w:lineRule="auto" w:line="288" w:before="0" w:after="0"/>
        <w:ind w:left="-567" w:hanging="0"/>
        <w:rPr>
          <w:sz w:val="24"/>
          <w:szCs w:val="24"/>
        </w:rPr>
      </w:pPr>
      <w:r>
        <w:rPr>
          <w:sz w:val="24"/>
          <w:szCs w:val="24"/>
        </w:rPr>
        <w:t xml:space="preserve">ОПРЕДЕЛЕНИЯ УЧАСТНИКОВ ТОРГОВ </w:t>
      </w:r>
    </w:p>
    <w:p>
      <w:pPr>
        <w:pStyle w:val="Title"/>
        <w:spacing w:lineRule="auto" w:line="288" w:before="0" w:after="0"/>
        <w:ind w:left="-567" w:hanging="0"/>
        <w:rPr>
          <w:sz w:val="24"/>
          <w:szCs w:val="24"/>
        </w:rPr>
      </w:pPr>
      <w:r>
        <w:rPr>
          <w:sz w:val="24"/>
          <w:szCs w:val="24"/>
        </w:rPr>
        <w:t xml:space="preserve">В ЭЛЕКТРОННОЙ ФОРМЕ ПО ЛОТУ № 6  </w:t>
      </w:r>
    </w:p>
    <w:p>
      <w:pPr>
        <w:pStyle w:val="Title"/>
        <w:spacing w:lineRule="auto" w:line="288" w:before="0" w:after="0"/>
        <w:ind w:left="-567" w:hanging="0"/>
        <w:rPr>
          <w:sz w:val="26"/>
          <w:szCs w:val="26"/>
        </w:rPr>
      </w:pPr>
      <w:r>
        <w:rPr>
          <w:sz w:val="26"/>
          <w:szCs w:val="26"/>
        </w:rPr>
      </w:r>
    </w:p>
    <w:p>
      <w:pPr>
        <w:pStyle w:val="Normal"/>
        <w:spacing w:before="120" w:after="120"/>
        <w:jc w:val="right"/>
        <w:rPr>
          <w:sz w:val="26"/>
          <w:szCs w:val="26"/>
        </w:rPr>
      </w:pPr>
      <w:r>
        <w:rPr>
          <w:sz w:val="26"/>
          <w:szCs w:val="26"/>
          <w:lang w:val="en-US"/>
        </w:rPr>
        <w:t> </w:t>
      </w:r>
      <w:r>
        <w:rPr>
          <w:sz w:val="20"/>
          <w:szCs w:val="20"/>
        </w:rPr>
        <w:t>Дата подписания протокола: «4» августа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5113-ОТПП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ООО "ЭЛИТСТРОЙ";</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6</w:t>
      </w:r>
      <w:r>
        <w:rPr>
          <w:rFonts w:eastAsia="Times New Roman"/>
        </w:rPr>
        <w:t>: Офисная техника и мебель (Стол компьютерный, Стол приставной, Стол журнальный, Стулья офисные, Кресло офисное, Кресло руководителя, Кресло, Тумба офисная, Стеллаж офисный, Шкаф для одежды, Вешалка для одежды, Жалюзи, Зеркало настенное, Кондиционер, Сейф, Холодильник Атлант)..</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103 870.80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А23-8028/2016.</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bookmarkStart w:id="3" w:name="_Hlk38153501"/>
      <w:bookmarkEnd w:id="3"/>
      <w:r>
        <w:rPr/>
        <w:t>Арбитражный суд Калужской области.</w:t>
      </w:r>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ООО "ЭЛИТСТРОЙ".</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bookmarkStart w:id="5" w:name="_Hlk37882833"/>
      <w:bookmarkEnd w:id="5"/>
      <w:r>
        <w:rPr>
          <w:lang w:val="en-US"/>
        </w:rPr>
        <w:t>Саранин Андрей Владимирович.</w:t>
      </w:r>
    </w:p>
    <w:p>
      <w:pPr>
        <w:pStyle w:val="Normal"/>
        <w:spacing w:lineRule="auto" w:line="264" w:before="120" w:after="120"/>
        <w:ind w:firstLine="215"/>
        <w:rPr>
          <w:b/>
          <w:b/>
          <w:bCs/>
          <w:lang w:val="en-US"/>
        </w:rPr>
      </w:pPr>
      <w:r>
        <w:rPr>
          <w:b/>
          <w:bCs/>
          <w:lang w:val="en-US"/>
        </w:rPr>
        <w:t xml:space="preserve">9. </w:t>
      </w:r>
      <w:r>
        <w:rPr>
          <w:b/>
          <w:bCs/>
        </w:rPr>
        <w:t>Организатор</w:t>
      </w:r>
      <w:r>
        <w:rPr>
          <w:b/>
          <w:bCs/>
          <w:lang w:val="en-US"/>
        </w:rPr>
        <w:t xml:space="preserve"> </w:t>
      </w:r>
      <w:r>
        <w:rPr>
          <w:b/>
          <w:bCs/>
        </w:rPr>
        <w:t>торгов</w:t>
      </w:r>
      <w:r>
        <w:rPr>
          <w:b/>
          <w:bCs/>
          <w:lang w:val="en-US"/>
        </w:rPr>
        <w:t xml:space="preserve"> </w:t>
      </w:r>
    </w:p>
    <w:p>
      <w:pPr>
        <w:pStyle w:val="Normal"/>
        <w:spacing w:lineRule="auto" w:line="264" w:before="0" w:after="120"/>
        <w:ind w:firstLine="567"/>
        <w:rPr>
          <w:lang w:val="en-US"/>
        </w:rPr>
      </w:pPr>
      <w:r>
        <w:rPr>
          <w:lang w:val="en-US"/>
        </w:rPr>
        <w:t>Саранин Андрей Владимирович.</w:t>
      </w:r>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ListParagraph"/>
        <w:spacing w:lineRule="auto" w:line="264" w:beforeAutospacing="0" w:before="120" w:afterAutospacing="0" w:after="120"/>
        <w:ind w:left="0" w:firstLine="215"/>
        <w:jc w:val="both"/>
        <w:rPr/>
      </w:pPr>
      <w:r>
        <w:rPr/>
        <w:t>11. Период проведения торгов</w:t>
      </w:r>
    </w:p>
    <w:p>
      <w:pPr>
        <w:pStyle w:val="Normal"/>
        <w:spacing w:lineRule="auto" w:line="264" w:before="0" w:after="120"/>
        <w:ind w:left="142" w:firstLine="425"/>
        <w:rPr/>
      </w:pPr>
      <w:r>
        <w:rPr/>
        <w:t>26.07.2022 08:00:00 ⇆ 03.08.2022 20:00:00</w:t>
      </w:r>
      <w:bookmarkStart w:id="7" w:name="_Hlk38027018"/>
      <w:bookmarkStart w:id="8" w:name="_Hlk38153468"/>
      <w:bookmarkEnd w:id="7"/>
      <w:bookmarkEnd w:id="8"/>
    </w:p>
    <w:p>
      <w:pPr>
        <w:pStyle w:val="Normal"/>
        <w:spacing w:lineRule="auto" w:line="264" w:before="120" w:after="120"/>
        <w:ind w:firstLine="215"/>
        <w:rPr>
          <w:b/>
          <w:b/>
          <w:bCs/>
        </w:rPr>
      </w:pPr>
      <w:r>
        <w:rPr>
          <w:b/>
          <w:bCs/>
        </w:rPr>
        <w:t xml:space="preserve">12. </w:t>
      </w:r>
      <w:bookmarkStart w:id="9" w:name="OLE_LINK36"/>
      <w:bookmarkEnd w:id="9"/>
      <w:r>
        <w:rPr>
          <w:b/>
          <w:bCs/>
        </w:rPr>
        <w:t>Перечень зарегистрированных заявок</w:t>
      </w:r>
    </w:p>
    <w:tbl>
      <w:tblPr>
        <w:tblW w:w="5000" w:type="pct"/>
        <w:jc w:val="center"/>
        <w:tblInd w:w="0" w:type="dxa"/>
        <w:tblCellMar>
          <w:top w:w="0" w:type="dxa"/>
          <w:left w:w="27" w:type="dxa"/>
          <w:bottom w:w="0" w:type="dxa"/>
          <w:right w:w="108" w:type="dxa"/>
        </w:tblCellMar>
        <w:tblLook w:val="04a0" w:noHBand="0" w:noVBand="1" w:firstColumn="1" w:lastRow="0" w:lastColumn="0" w:firstRow="1"/>
      </w:tblPr>
      <w:tblGrid>
        <w:gridCol w:w="3028"/>
        <w:gridCol w:w="3903"/>
        <w:gridCol w:w="2140"/>
      </w:tblGrid>
      <w:tr>
        <w:trPr/>
        <w:tc>
          <w:tcPr>
            <w:tcW w:w="3028"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Дата подачи</w:t>
            </w:r>
          </w:p>
        </w:tc>
        <w:tc>
          <w:tcPr>
            <w:tcW w:w="39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Информация о заявителе</w:t>
            </w:r>
          </w:p>
        </w:tc>
        <w:tc>
          <w:tcPr>
            <w:tcW w:w="214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Статус рассмотрения заявки</w:t>
            </w:r>
          </w:p>
        </w:tc>
      </w:tr>
      <w:tr>
        <w:trPr/>
        <w:tc>
          <w:tcPr>
            <w:tcW w:w="3028"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«27» июля 2022 года, время:  14:56:15  </w:t>
            </w:r>
          </w:p>
        </w:tc>
        <w:tc>
          <w:tcPr>
            <w:tcW w:w="39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Честнов Максим Владимирович</w:t>
            </w:r>
          </w:p>
          <w:p>
            <w:pPr>
              <w:pStyle w:val="Tabletext"/>
              <w:spacing w:lineRule="auto" w:line="264"/>
              <w:jc w:val="center"/>
              <w:rPr/>
            </w:pPr>
            <w:r>
              <w:rPr>
                <w:sz w:val="18"/>
                <w:szCs w:val="18"/>
                <w:lang w:val="en-US"/>
              </w:rPr>
              <w:t xml:space="preserve"> </w:t>
            </w:r>
            <w:r>
              <w:rPr>
                <w:sz w:val="18"/>
                <w:szCs w:val="18"/>
                <w:lang w:val="en-US"/>
              </w:rPr>
              <w:t>ИНН:502478080719</w:t>
            </w:r>
          </w:p>
        </w:tc>
        <w:tc>
          <w:tcPr>
            <w:tcW w:w="214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rPr>
            </w:pPr>
            <w:r>
              <w:rPr>
                <w:b/>
                <w:sz w:val="18"/>
                <w:szCs w:val="18"/>
              </w:rPr>
              <w:t xml:space="preserve">Заявка отклонена </w:t>
            </w:r>
          </w:p>
        </w:tc>
      </w:tr>
      <w:tr>
        <w:trPr/>
        <w:tc>
          <w:tcPr>
            <w:tcW w:w="3028"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«29» июля 2022 года, время:  18:30:39  </w:t>
            </w:r>
          </w:p>
        </w:tc>
        <w:tc>
          <w:tcPr>
            <w:tcW w:w="39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ИП Мальковская Татьяна Петровна</w:t>
            </w:r>
          </w:p>
          <w:p>
            <w:pPr>
              <w:pStyle w:val="Tabletext"/>
              <w:spacing w:lineRule="auto" w:line="264"/>
              <w:jc w:val="center"/>
              <w:rPr/>
            </w:pPr>
            <w:r>
              <w:rPr>
                <w:sz w:val="18"/>
                <w:szCs w:val="18"/>
                <w:lang w:val="en-US"/>
              </w:rPr>
              <w:t xml:space="preserve"> </w:t>
            </w:r>
            <w:r>
              <w:rPr>
                <w:sz w:val="18"/>
                <w:szCs w:val="18"/>
                <w:lang w:val="en-US"/>
              </w:rPr>
              <w:t>ОГРНИП:316507400067073</w:t>
            </w:r>
          </w:p>
        </w:tc>
        <w:tc>
          <w:tcPr>
            <w:tcW w:w="214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rPr>
            </w:pPr>
            <w:r>
              <w:rPr>
                <w:b/>
                <w:sz w:val="18"/>
                <w:szCs w:val="18"/>
              </w:rPr>
              <w:t xml:space="preserve">Заявка принята </w:t>
            </w:r>
          </w:p>
        </w:tc>
      </w:tr>
      <w:tr>
        <w:trPr/>
        <w:tc>
          <w:tcPr>
            <w:tcW w:w="3028"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«1» августа 2022 года, время:  18:32:36  </w:t>
            </w:r>
          </w:p>
        </w:tc>
        <w:tc>
          <w:tcPr>
            <w:tcW w:w="39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Терентьев Денис Яковлевич</w:t>
            </w:r>
          </w:p>
          <w:p>
            <w:pPr>
              <w:pStyle w:val="Tabletext"/>
              <w:spacing w:lineRule="auto" w:line="264"/>
              <w:jc w:val="center"/>
              <w:rPr/>
            </w:pPr>
            <w:r>
              <w:rPr>
                <w:sz w:val="18"/>
                <w:szCs w:val="18"/>
                <w:lang w:val="en-US"/>
              </w:rPr>
              <w:t xml:space="preserve"> </w:t>
            </w:r>
            <w:r>
              <w:rPr>
                <w:sz w:val="18"/>
                <w:szCs w:val="18"/>
                <w:lang w:val="en-US"/>
              </w:rPr>
              <w:t>ИНН:110504201900</w:t>
            </w:r>
          </w:p>
        </w:tc>
        <w:tc>
          <w:tcPr>
            <w:tcW w:w="214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rPr>
            </w:pPr>
            <w:r>
              <w:rPr>
                <w:b/>
                <w:sz w:val="18"/>
                <w:szCs w:val="18"/>
              </w:rPr>
              <w:t xml:space="preserve">Заявка принята </w:t>
            </w:r>
          </w:p>
        </w:tc>
      </w:tr>
    </w:tbl>
    <w:p>
      <w:pPr>
        <w:pStyle w:val="Normal"/>
        <w:spacing w:lineRule="auto" w:line="264" w:before="120" w:after="120"/>
        <w:ind w:firstLine="215"/>
        <w:rPr>
          <w:b/>
          <w:b/>
          <w:bCs/>
        </w:rPr>
      </w:pPr>
      <w:r>
        <w:rPr>
          <w:b/>
          <w:bCs/>
        </w:rPr>
        <w:t>13. Перечень заявителей, допущенных к участию в торгах</w:t>
      </w:r>
    </w:p>
    <w:tbl>
      <w:tblPr>
        <w:tblW w:w="5000" w:type="pct"/>
        <w:jc w:val="center"/>
        <w:tblInd w:w="0" w:type="dxa"/>
        <w:tblCellMar>
          <w:top w:w="0" w:type="dxa"/>
          <w:left w:w="27" w:type="dxa"/>
          <w:bottom w:w="0" w:type="dxa"/>
          <w:right w:w="108" w:type="dxa"/>
        </w:tblCellMar>
        <w:tblLook w:val="04a0" w:noHBand="0" w:noVBand="1" w:firstColumn="1" w:lastRow="0" w:lastColumn="0" w:firstRow="1"/>
      </w:tblPr>
      <w:tblGrid>
        <w:gridCol w:w="3420"/>
        <w:gridCol w:w="5650"/>
      </w:tblGrid>
      <w:tr>
        <w:trPr/>
        <w:tc>
          <w:tcPr>
            <w:tcW w:w="342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Дата подачи</w:t>
            </w:r>
          </w:p>
        </w:tc>
        <w:tc>
          <w:tcPr>
            <w:tcW w:w="565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Информация о заявителе</w:t>
            </w:r>
          </w:p>
        </w:tc>
      </w:tr>
      <w:tr>
        <w:trPr/>
        <w:tc>
          <w:tcPr>
            <w:tcW w:w="342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«1» августа 2022 года, время:  18:32:36  </w:t>
            </w:r>
          </w:p>
        </w:tc>
        <w:tc>
          <w:tcPr>
            <w:tcW w:w="565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Терентьев Денис Яковлевич</w:t>
            </w:r>
          </w:p>
          <w:p>
            <w:pPr>
              <w:pStyle w:val="Tabletext"/>
              <w:spacing w:lineRule="auto" w:line="264"/>
              <w:jc w:val="center"/>
              <w:rPr/>
            </w:pPr>
            <w:r>
              <w:rPr>
                <w:sz w:val="18"/>
                <w:szCs w:val="18"/>
                <w:lang w:val="en-US"/>
              </w:rPr>
              <w:t>ИНН:110504201900</w:t>
            </w:r>
          </w:p>
        </w:tc>
      </w:tr>
      <w:tr>
        <w:trPr/>
        <w:tc>
          <w:tcPr>
            <w:tcW w:w="342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«29» июля 2022 года, время:  18:30:39  </w:t>
            </w:r>
          </w:p>
        </w:tc>
        <w:tc>
          <w:tcPr>
            <w:tcW w:w="565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ИП Мальковская Татьяна Петровна</w:t>
            </w:r>
          </w:p>
          <w:p>
            <w:pPr>
              <w:pStyle w:val="Tabletext"/>
              <w:spacing w:lineRule="auto" w:line="264"/>
              <w:jc w:val="center"/>
              <w:rPr/>
            </w:pPr>
            <w:r>
              <w:rPr>
                <w:sz w:val="18"/>
                <w:szCs w:val="18"/>
                <w:lang w:val="en-US"/>
              </w:rPr>
              <w:t>ОГРНИП:316507400067073</w:t>
            </w:r>
          </w:p>
        </w:tc>
      </w:tr>
    </w:tbl>
    <w:p>
      <w:pPr>
        <w:pStyle w:val="Normal"/>
        <w:spacing w:lineRule="auto" w:line="264" w:before="120" w:after="120"/>
        <w:ind w:firstLine="215"/>
        <w:rPr>
          <w:b/>
          <w:b/>
          <w:bCs/>
        </w:rPr>
      </w:pPr>
      <w:r>
        <w:rPr>
          <w:b/>
          <w:bCs/>
        </w:rPr>
        <w:t>14. Перечень заявителей, которым отказано в допуске к участию в торгах</w:t>
      </w:r>
    </w:p>
    <w:tbl>
      <w:tblPr>
        <w:tblW w:w="5000" w:type="pct"/>
        <w:jc w:val="center"/>
        <w:tblInd w:w="0" w:type="dxa"/>
        <w:tblCellMar>
          <w:top w:w="0" w:type="dxa"/>
          <w:left w:w="27" w:type="dxa"/>
          <w:bottom w:w="0" w:type="dxa"/>
          <w:right w:w="108" w:type="dxa"/>
        </w:tblCellMar>
        <w:tblLook w:val="04a0" w:noHBand="0" w:noVBand="1" w:firstColumn="1" w:lastRow="0" w:lastColumn="0" w:firstRow="1"/>
      </w:tblPr>
      <w:tblGrid>
        <w:gridCol w:w="3459"/>
        <w:gridCol w:w="3660"/>
        <w:gridCol w:w="1952"/>
      </w:tblGrid>
      <w:tr>
        <w:trPr/>
        <w:tc>
          <w:tcPr>
            <w:tcW w:w="3459"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Дата подачи</w:t>
            </w:r>
          </w:p>
        </w:tc>
        <w:tc>
          <w:tcPr>
            <w:tcW w:w="366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Информация о заявителе</w:t>
            </w:r>
          </w:p>
        </w:tc>
        <w:tc>
          <w:tcPr>
            <w:tcW w:w="1952"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Основание отказа</w:t>
            </w:r>
          </w:p>
        </w:tc>
      </w:tr>
      <w:tr>
        <w:trPr/>
        <w:tc>
          <w:tcPr>
            <w:tcW w:w="3459"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«27» июля 2022 года, время:  14:56:15  </w:t>
            </w:r>
          </w:p>
        </w:tc>
        <w:tc>
          <w:tcPr>
            <w:tcW w:w="366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Честнов Максим Владимирович</w:t>
            </w:r>
          </w:p>
          <w:p>
            <w:pPr>
              <w:pStyle w:val="Tabletext"/>
              <w:spacing w:lineRule="auto" w:line="264"/>
              <w:jc w:val="center"/>
              <w:rPr/>
            </w:pPr>
            <w:r>
              <w:rPr>
                <w:sz w:val="18"/>
                <w:szCs w:val="18"/>
                <w:lang w:val="en-US"/>
              </w:rPr>
              <w:t xml:space="preserve"> </w:t>
            </w:r>
            <w:r>
              <w:rPr>
                <w:sz w:val="18"/>
                <w:szCs w:val="18"/>
                <w:lang w:val="en-US"/>
              </w:rPr>
              <w:t>ИНН:502478080719</w:t>
            </w:r>
          </w:p>
        </w:tc>
        <w:tc>
          <w:tcPr>
            <w:tcW w:w="1952"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rPr>
            </w:pPr>
            <w:r>
              <w:rPr>
                <w:b/>
                <w:sz w:val="18"/>
                <w:szCs w:val="18"/>
              </w:rPr>
              <w:t>Поступление задатка на счет, указанный в сообщении о проведении торгов, не подтверждено на дату составления протокола об определении участников торгов (абзац 5 пункта 12 статьи 110 Закона о банкротстве)</w:t>
            </w:r>
          </w:p>
        </w:tc>
      </w:tr>
    </w:tbl>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(Саранин Андрей Владимирович) </w:t>
      </w:r>
    </w:p>
    <w:p>
      <w:pPr>
        <w:pStyle w:val="NormalWeb"/>
        <w:spacing w:lineRule="auto" w:line="264" w:beforeAutospacing="0" w:before="600" w:afterAutospacing="0" w:after="280"/>
        <w:ind w:left="567" w:hanging="0"/>
        <w:jc w:val="both"/>
        <w:rPr>
          <w:lang w:val="en-US"/>
        </w:rPr>
      </w:pPr>
      <w:r>
        <w:rPr>
          <w:lang w:val="en-US"/>
        </w:rPr>
        <w:t>_______________ Саранин Андрей Владимирович</w:t>
      </w:r>
    </w:p>
    <w:p>
      <w:pPr>
        <w:pStyle w:val="NormalWeb"/>
        <w:spacing w:before="280" w:after="280"/>
        <w:ind w:firstLine="426"/>
        <w:jc w:val="both"/>
        <w:rPr>
          <w:lang w:val="en-US"/>
        </w:rPr>
      </w:pPr>
      <w:r>
        <w:rPr>
          <w:lang w:val="en-US"/>
        </w:rPr>
      </w:r>
    </w:p>
    <w:p>
      <w:pPr>
        <w:pStyle w:val="Normal"/>
        <w:spacing w:lineRule="auto" w:line="264"/>
        <w:ind w:firstLine="567"/>
        <w:rPr>
          <w:lang w:val="en-US"/>
        </w:rPr>
      </w:pPr>
      <w:r>
        <w:rPr>
          <w:lang w:val="en-US"/>
        </w:rPr>
      </w:r>
    </w:p>
    <w:p>
      <w:pPr>
        <w:pStyle w:val="Normal"/>
        <w:spacing w:lineRule="auto" w:line="264"/>
        <w:ind w:firstLine="567"/>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4C928A1B">
              <wp:simplePos x="0" y="0"/>
              <wp:positionH relativeFrom="column">
                <wp:posOffset>-1066165</wp:posOffset>
              </wp:positionH>
              <wp:positionV relativeFrom="paragraph">
                <wp:posOffset>-438785</wp:posOffset>
              </wp:positionV>
              <wp:extent cx="7564120" cy="10695940"/>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3600" cy="1069524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3.95pt;margin-top:-34.55pt;width:595.5pt;height:842.1pt" wp14:anchorId="4C928A1B"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6f1354"/>
    <w:rPr>
      <w:sz w:val="16"/>
      <w:szCs w:val="16"/>
    </w:rPr>
  </w:style>
  <w:style w:type="character" w:styleId="Style18" w:customStyle="1">
    <w:name w:val="Текст примечания Знак"/>
    <w:basedOn w:val="DefaultParagraphFont"/>
    <w:uiPriority w:val="99"/>
    <w:semiHidden/>
    <w:qFormat/>
    <w:rsid w:val="006f1354"/>
    <w:rPr>
      <w:rFonts w:eastAsia="" w:eastAsiaTheme="minorEastAsia"/>
    </w:rPr>
  </w:style>
  <w:style w:type="character" w:styleId="Style19" w:customStyle="1">
    <w:name w:val="Тема примечания Знак"/>
    <w:basedOn w:val="Style18"/>
    <w:uiPriority w:val="99"/>
    <w:semiHidden/>
    <w:qFormat/>
    <w:rsid w:val="006f1354"/>
    <w:rPr>
      <w:rFonts w:eastAsia="" w:eastAsiaTheme="minorEastAsia"/>
      <w:b/>
      <w:bCs/>
    </w:rPr>
  </w:style>
  <w:style w:type="character" w:styleId="Style20" w:customStyle="1">
    <w:name w:val="Текст выноски Знак"/>
    <w:basedOn w:val="DefaultParagraphFont"/>
    <w:uiPriority w:val="99"/>
    <w:semiHidden/>
    <w:qFormat/>
    <w:rsid w:val="006f1354"/>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6f1354"/>
    <w:pPr/>
    <w:rPr>
      <w:sz w:val="20"/>
      <w:szCs w:val="20"/>
    </w:rPr>
  </w:style>
  <w:style w:type="paragraph" w:styleId="Annotationsubject">
    <w:name w:val="annotation subject"/>
    <w:basedOn w:val="Annotationtext"/>
    <w:uiPriority w:val="99"/>
    <w:semiHidden/>
    <w:unhideWhenUsed/>
    <w:qFormat/>
    <w:rsid w:val="006f1354"/>
    <w:pPr/>
    <w:rPr>
      <w:b/>
      <w:bCs/>
    </w:rPr>
  </w:style>
  <w:style w:type="paragraph" w:styleId="BalloonText">
    <w:name w:val="Balloon Text"/>
    <w:basedOn w:val="Normal"/>
    <w:uiPriority w:val="99"/>
    <w:semiHidden/>
    <w:unhideWhenUsed/>
    <w:qFormat/>
    <w:rsid w:val="006f1354"/>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Application>LibreOffice/6.4.7.2$Linux_X86_64 LibreOffice_project/40$Build-2</Application>
  <Pages>2</Pages>
  <Words>182</Words>
  <Characters>1620</Characters>
  <CharactersWithSpaces>1766</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2022-02-11T10:28:39Z</dcterms:modified>
  <cp:revision>36</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