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"Техноресурс";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
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 права требования ООО «Техноресурс»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«Машдеталь»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«Евростиль» (ИНН: 4632215248) на сумму 1213456,70 руб.,  ООО «ЕСК» (ИНН: 4632183518) на сумму 1822683,53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5 157 076.00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июля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