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5758–ОАОФ/1/1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5758-ОАОФ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
Петуров Николай  Иванович;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земельный участок, кадастровый номер 75:32:040343:339,
Площадью 1500.00 кв.м., адрес: Забайкальский край, г. Чита,
район п. Застепь (птичник), участок № 132.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132 525.00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А78-10540/2020.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Забайкальского края от 30.09.2021 г. дело  А78-10540/2020.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Петуров Николай Иванович.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«23» мая 2022г. 17:00:00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«29» июня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