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60760A">
        <w:rPr>
          <w:sz w:val="22"/>
          <w:szCs w:val="22"/>
        </w:rPr>
        <w:t xml:space="preserve">  «__»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FB02A1">
      <w:pPr>
        <w:ind w:firstLine="709"/>
        <w:jc w:val="both"/>
        <w:rPr>
          <w:sz w:val="22"/>
          <w:szCs w:val="22"/>
        </w:rPr>
      </w:pPr>
      <w:r w:rsidRPr="00FB02A1">
        <w:rPr>
          <w:rFonts w:cs="Times New Roman"/>
        </w:rPr>
        <w:t xml:space="preserve">Финансовый управляющий </w:t>
      </w:r>
      <w:r w:rsidR="00AA4D23" w:rsidRPr="00AA4D23">
        <w:rPr>
          <w:rFonts w:cs="Times New Roman"/>
        </w:rPr>
        <w:t>Мащенко Алексея Анатольевича Бубукин Валентин Александрович, действующий на основании Решения Арбитражного суда Московской области от 21.01.2021 г. по делу № А41-66094/2020</w:t>
      </w:r>
      <w:r w:rsidR="00A366BD"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A4D23" w:rsidRDefault="00AA4D23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A4D23">
        <w:rPr>
          <w:b/>
          <w:bCs/>
          <w:sz w:val="22"/>
          <w:szCs w:val="22"/>
          <w:lang w:val="x-none"/>
        </w:rPr>
        <w:t>АМТС «LAND ROVER FREELANDER II», VIN SALFA24B88H103414, регистрационный знак Т173ОЕ750, 2008 года выпуска.</w:t>
      </w: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FC6DE5" w:rsidRPr="00FC6DE5">
        <w:rPr>
          <w:sz w:val="22"/>
          <w:szCs w:val="22"/>
        </w:rPr>
        <w:t xml:space="preserve">754 200 </w:t>
      </w:r>
      <w:r w:rsidR="00886CDB">
        <w:rPr>
          <w:sz w:val="22"/>
          <w:szCs w:val="22"/>
        </w:rPr>
        <w:t>(</w:t>
      </w:r>
      <w:r w:rsidR="00FC6DE5">
        <w:rPr>
          <w:sz w:val="22"/>
          <w:szCs w:val="22"/>
        </w:rPr>
        <w:t>семьсот пятьдесят четыре</w:t>
      </w:r>
      <w:bookmarkStart w:id="0" w:name="_GoBack"/>
      <w:bookmarkEnd w:id="0"/>
      <w:r w:rsidR="009950C1">
        <w:rPr>
          <w:sz w:val="22"/>
          <w:szCs w:val="22"/>
        </w:rPr>
        <w:t xml:space="preserve"> тысяч</w:t>
      </w:r>
      <w:r w:rsidR="00FC6DE5">
        <w:rPr>
          <w:sz w:val="22"/>
          <w:szCs w:val="22"/>
        </w:rPr>
        <w:t>и двести</w:t>
      </w:r>
      <w:r w:rsidR="00886CDB">
        <w:rPr>
          <w:sz w:val="22"/>
          <w:szCs w:val="22"/>
        </w:rPr>
        <w:t xml:space="preserve">)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AA4D23">
        <w:rPr>
          <w:sz w:val="22"/>
          <w:szCs w:val="22"/>
        </w:rPr>
        <w:t>Мащенко А.А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950C1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r w:rsidR="00AA4D23" w:rsidRPr="00AA4D23">
        <w:rPr>
          <w:sz w:val="22"/>
          <w:szCs w:val="22"/>
        </w:rPr>
        <w:t>Мащенко А.А.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 xml:space="preserve">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A4D23" w:rsidRDefault="00AA4D23">
      <w:pPr>
        <w:jc w:val="both"/>
        <w:rPr>
          <w:sz w:val="22"/>
          <w:szCs w:val="22"/>
        </w:rPr>
      </w:pPr>
      <w:r w:rsidRPr="00AA4D23">
        <w:rPr>
          <w:sz w:val="22"/>
          <w:szCs w:val="22"/>
        </w:rPr>
        <w:t>Мащенко А.А.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56" w:rsidRDefault="00FD7756">
      <w:r>
        <w:separator/>
      </w:r>
    </w:p>
  </w:endnote>
  <w:endnote w:type="continuationSeparator" w:id="0">
    <w:p w:rsidR="00FD7756" w:rsidRDefault="00FD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56" w:rsidRDefault="00FD7756">
      <w:r>
        <w:separator/>
      </w:r>
    </w:p>
  </w:footnote>
  <w:footnote w:type="continuationSeparator" w:id="0">
    <w:p w:rsidR="00FD7756" w:rsidRDefault="00FD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A1902"/>
    <w:rsid w:val="005A6942"/>
    <w:rsid w:val="0060760A"/>
    <w:rsid w:val="00660821"/>
    <w:rsid w:val="00813125"/>
    <w:rsid w:val="008247CD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AA4D23"/>
    <w:rsid w:val="00B20FF5"/>
    <w:rsid w:val="00B51CBD"/>
    <w:rsid w:val="00B64FE3"/>
    <w:rsid w:val="00B86920"/>
    <w:rsid w:val="00BE27BB"/>
    <w:rsid w:val="00C27CAD"/>
    <w:rsid w:val="00C43328"/>
    <w:rsid w:val="00C67478"/>
    <w:rsid w:val="00CE6688"/>
    <w:rsid w:val="00D019AB"/>
    <w:rsid w:val="00D04670"/>
    <w:rsid w:val="00D52397"/>
    <w:rsid w:val="00D86FD5"/>
    <w:rsid w:val="00DF1175"/>
    <w:rsid w:val="00E153C0"/>
    <w:rsid w:val="00F374E6"/>
    <w:rsid w:val="00F43BC2"/>
    <w:rsid w:val="00FB02A1"/>
    <w:rsid w:val="00FC6DE5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725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38</cp:revision>
  <cp:lastPrinted>2018-12-25T11:53:00Z</cp:lastPrinted>
  <dcterms:created xsi:type="dcterms:W3CDTF">2018-12-25T11:52:00Z</dcterms:created>
  <dcterms:modified xsi:type="dcterms:W3CDTF">2022-04-28T11:28:00Z</dcterms:modified>
</cp:coreProperties>
</file>