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D9BD0" w14:textId="77777777" w:rsidR="00E02D9D" w:rsidRDefault="00E024F8">
      <w:pPr>
        <w:pStyle w:val="af2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 wp14:anchorId="174C5FF1" wp14:editId="680961D0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1F49AF" w14:textId="77777777" w:rsidR="00E02D9D" w:rsidRDefault="00E02D9D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585AB795" w14:textId="77777777" w:rsidR="00E02D9D" w:rsidRDefault="00E02D9D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2B41B675" w14:textId="77777777" w:rsidR="00E02D9D" w:rsidRDefault="00E024F8">
      <w:pPr>
        <w:pStyle w:val="af2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5427–ОТПП/2/1</w:t>
      </w:r>
    </w:p>
    <w:p w14:paraId="13016C7D" w14:textId="77777777" w:rsidR="00E02D9D" w:rsidRDefault="00E024F8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38ABC3EA" w14:textId="77777777" w:rsidR="00E02D9D" w:rsidRDefault="00E024F8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 w14:paraId="3087ACF1" w14:textId="77777777" w:rsidR="00E02D9D" w:rsidRDefault="00E02D9D">
      <w:pPr>
        <w:pStyle w:val="af2"/>
        <w:spacing w:before="0" w:after="0" w:line="288" w:lineRule="auto"/>
        <w:ind w:firstLine="0"/>
        <w:rPr>
          <w:sz w:val="26"/>
          <w:szCs w:val="26"/>
        </w:rPr>
      </w:pPr>
    </w:p>
    <w:p w14:paraId="60027796" w14:textId="77777777" w:rsidR="00E02D9D" w:rsidRDefault="00E024F8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«3» мая 2022 года</w:t>
      </w:r>
    </w:p>
    <w:p w14:paraId="59B28DC2" w14:textId="77777777" w:rsidR="00E02D9D" w:rsidRDefault="00E02D9D">
      <w:pPr>
        <w:pStyle w:val="af4"/>
        <w:spacing w:before="280" w:beforeAutospacing="0" w:after="120" w:afterAutospacing="0" w:line="264" w:lineRule="auto"/>
        <w:ind w:left="0" w:firstLine="0"/>
        <w:jc w:val="both"/>
      </w:pPr>
    </w:p>
    <w:p w14:paraId="31F52445" w14:textId="77777777" w:rsidR="00E02D9D" w:rsidRDefault="00E024F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247D27E9" w14:textId="77777777" w:rsidR="00E02D9D" w:rsidRDefault="00E024F8">
      <w:pPr>
        <w:spacing w:before="60" w:after="60" w:line="264" w:lineRule="auto"/>
        <w:ind w:firstLine="567"/>
      </w:pPr>
      <w:r>
        <w:t xml:space="preserve">Открытые торги посредством публичного </w:t>
      </w:r>
      <w:r>
        <w:t>предложения.</w:t>
      </w:r>
    </w:p>
    <w:p w14:paraId="7070DC00" w14:textId="77777777" w:rsidR="00E02D9D" w:rsidRDefault="00E024F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34B4DB58" w14:textId="77777777" w:rsidR="00E02D9D" w:rsidRDefault="00E024F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5427-ОТПП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Топоркова Надежда Леонидовна.</w:t>
      </w:r>
    </w:p>
    <w:p w14:paraId="194F95D0" w14:textId="77777777" w:rsidR="00E02D9D" w:rsidRDefault="00E024F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D33140C" w14:textId="77777777" w:rsidR="00E02D9D" w:rsidRDefault="00E024F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 xml:space="preserve">: Доля 1/2 в праве собственности на объект </w:t>
      </w:r>
      <w:r>
        <w:rPr>
          <w:rFonts w:eastAsia="Times New Roman"/>
        </w:rPr>
        <w:t xml:space="preserve">недвижимости – трехкомнатная квартира общей площадью 100,4 </w:t>
      </w:r>
      <w:proofErr w:type="spellStart"/>
      <w:r>
        <w:rPr>
          <w:rFonts w:eastAsia="Times New Roman"/>
        </w:rPr>
        <w:t>кв.м</w:t>
      </w:r>
      <w:proofErr w:type="spellEnd"/>
      <w:r>
        <w:rPr>
          <w:rFonts w:eastAsia="Times New Roman"/>
        </w:rPr>
        <w:t>. расположенной по адресу: г.Екатеринбург, ул. Шейнкмана д.111, кв.315, кадастровый номер 66:41:0401048:4354.</w:t>
      </w:r>
    </w:p>
    <w:p w14:paraId="4B94CEC6" w14:textId="77777777" w:rsidR="00E02D9D" w:rsidRDefault="00E024F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26CD6789" w14:textId="77777777" w:rsidR="00E02D9D" w:rsidRDefault="00E024F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3 598 374.65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3109B1EF" w14:textId="77777777" w:rsidR="00E02D9D" w:rsidRDefault="00E024F8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</w:t>
      </w:r>
      <w:r>
        <w:t>ротстве</w:t>
      </w:r>
    </w:p>
    <w:p w14:paraId="5BFBFC62" w14:textId="77777777" w:rsidR="00E02D9D" w:rsidRDefault="00E024F8">
      <w:pPr>
        <w:spacing w:after="120" w:line="264" w:lineRule="auto"/>
        <w:ind w:firstLine="567"/>
      </w:pPr>
      <w:r>
        <w:t>А60-14018/2017.</w:t>
      </w:r>
    </w:p>
    <w:p w14:paraId="6D0E1E48" w14:textId="77777777" w:rsidR="00E02D9D" w:rsidRDefault="00E024F8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51AC9276" w14:textId="77777777" w:rsidR="00E02D9D" w:rsidRDefault="00E024F8">
      <w:pPr>
        <w:spacing w:after="120" w:line="264" w:lineRule="auto"/>
        <w:ind w:firstLine="567"/>
      </w:pPr>
      <w:r>
        <w:t>Арбитражный суд Свердловской области.</w:t>
      </w:r>
      <w:bookmarkStart w:id="3" w:name="_Hlk38152713"/>
      <w:bookmarkEnd w:id="3"/>
    </w:p>
    <w:p w14:paraId="647B9EB1" w14:textId="77777777" w:rsidR="00E02D9D" w:rsidRDefault="00E024F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7583E6BB" w14:textId="77777777" w:rsidR="00E02D9D" w:rsidRDefault="00E024F8">
      <w:pPr>
        <w:spacing w:after="120" w:line="264" w:lineRule="auto"/>
        <w:ind w:firstLine="567"/>
      </w:pPr>
      <w:r>
        <w:t>Топоркова Надежда Леонидовна.</w:t>
      </w:r>
    </w:p>
    <w:p w14:paraId="60378C7E" w14:textId="77777777" w:rsidR="00E02D9D" w:rsidRDefault="00E024F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4E15A1A7" w14:textId="77777777" w:rsidR="00E02D9D" w:rsidRPr="006C010D" w:rsidRDefault="00E024F8">
      <w:pPr>
        <w:spacing w:after="120" w:line="264" w:lineRule="auto"/>
        <w:ind w:firstLine="567"/>
      </w:pPr>
      <w:r w:rsidRPr="006C010D">
        <w:t>Ефимов Сергей Александрович.</w:t>
      </w:r>
    </w:p>
    <w:p w14:paraId="2EE76261" w14:textId="77777777" w:rsidR="00E02D9D" w:rsidRPr="006C010D" w:rsidRDefault="00E024F8">
      <w:pPr>
        <w:pStyle w:val="af4"/>
        <w:spacing w:before="120" w:beforeAutospacing="0" w:after="120" w:afterAutospacing="0" w:line="264" w:lineRule="auto"/>
        <w:ind w:left="0" w:firstLine="215"/>
        <w:jc w:val="both"/>
      </w:pPr>
      <w:r w:rsidRPr="006C010D">
        <w:t xml:space="preserve">9. </w:t>
      </w:r>
      <w:r>
        <w:t>Организатор</w:t>
      </w:r>
      <w:r w:rsidRPr="006C010D">
        <w:t xml:space="preserve"> </w:t>
      </w:r>
      <w:r>
        <w:t>торгов</w:t>
      </w:r>
      <w:r w:rsidRPr="006C010D">
        <w:t xml:space="preserve"> </w:t>
      </w:r>
    </w:p>
    <w:p w14:paraId="7DB5ED7D" w14:textId="77777777" w:rsidR="00E02D9D" w:rsidRPr="006C010D" w:rsidRDefault="00E024F8">
      <w:pPr>
        <w:spacing w:after="120" w:line="264" w:lineRule="auto"/>
        <w:ind w:firstLine="567"/>
      </w:pPr>
      <w:r w:rsidRPr="006C010D">
        <w:t>Ефимов Сергей Але</w:t>
      </w:r>
      <w:r w:rsidRPr="006C010D">
        <w:t>ксандрович.</w:t>
      </w:r>
      <w:bookmarkStart w:id="5" w:name="_Hlk37882833"/>
      <w:bookmarkEnd w:id="5"/>
    </w:p>
    <w:p w14:paraId="4764D4D6" w14:textId="77777777" w:rsidR="00E02D9D" w:rsidRDefault="00E024F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0245FC79" w14:textId="77777777" w:rsidR="00E02D9D" w:rsidRDefault="00E024F8">
      <w:pPr>
        <w:spacing w:after="120" w:line="264" w:lineRule="auto"/>
        <w:ind w:left="567"/>
      </w:pPr>
      <w:r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 w14:paraId="51F3628E" w14:textId="77777777" w:rsidR="00E02D9D" w:rsidRDefault="00E024F8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</w:p>
    <w:p w14:paraId="77EE8339" w14:textId="77777777" w:rsidR="008C66E4" w:rsidRDefault="008C66E4">
      <w:pPr>
        <w:pStyle w:val="af4"/>
        <w:spacing w:before="120" w:beforeAutospacing="0" w:after="120" w:afterAutospacing="0" w:line="264" w:lineRule="auto"/>
        <w:ind w:left="0" w:firstLine="215"/>
        <w:jc w:val="both"/>
      </w:pPr>
    </w:p>
    <w:p w14:paraId="0118CF10" w14:textId="673BB07C" w:rsidR="00E02D9D" w:rsidRDefault="00E024F8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 xml:space="preserve">11. </w:t>
      </w:r>
      <w:proofErr w:type="gramStart"/>
      <w:r>
        <w:t>Период проведения торгов</w:t>
      </w:r>
      <w:proofErr w:type="gramEnd"/>
      <w:r>
        <w:t xml:space="preserve"> в котором определен победитель</w:t>
      </w:r>
    </w:p>
    <w:p w14:paraId="2FCC4B64" w14:textId="77777777" w:rsidR="00E02D9D" w:rsidRDefault="00E024F8">
      <w:pPr>
        <w:spacing w:after="120" w:line="264" w:lineRule="auto"/>
        <w:ind w:left="142" w:firstLine="425"/>
      </w:pPr>
      <w:r>
        <w:t>28.04.2022 10:00:00 ⇆ 02.05.2022 15:00:00</w:t>
      </w:r>
      <w:bookmarkStart w:id="6" w:name="_Hlk38154481"/>
      <w:bookmarkEnd w:id="6"/>
    </w:p>
    <w:p w14:paraId="4B75061B" w14:textId="77777777" w:rsidR="00E02D9D" w:rsidRDefault="00E024F8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637829C9" w14:textId="77777777" w:rsidR="00E02D9D" w:rsidRDefault="00E024F8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5427–ОТПП/2/1</w:t>
      </w:r>
      <w:r>
        <w:t xml:space="preserve"> от </w:t>
      </w:r>
      <w:r>
        <w:rPr>
          <w:u w:val="single"/>
        </w:rPr>
        <w:t>«3» мая 2022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E02D9D" w14:paraId="6552E4DC" w14:textId="77777777">
        <w:tc>
          <w:tcPr>
            <w:tcW w:w="8636" w:type="dxa"/>
            <w:shd w:val="clear" w:color="auto" w:fill="auto"/>
          </w:tcPr>
          <w:p w14:paraId="13E802CD" w14:textId="77777777" w:rsidR="00E02D9D" w:rsidRPr="006C010D" w:rsidRDefault="00E024F8">
            <w:r w:rsidRPr="006C010D">
              <w:rPr>
                <w:b/>
              </w:rPr>
              <w:t xml:space="preserve">1. </w:t>
            </w:r>
            <w:r w:rsidRPr="006C010D">
              <w:rPr>
                <w:b/>
                <w:bCs/>
              </w:rPr>
              <w:t>Общество с ограниченной ответственностью "Компания "СОДРУЖЕСТВО"</w:t>
            </w:r>
          </w:p>
          <w:p w14:paraId="46C032D6" w14:textId="77777777" w:rsidR="00E02D9D" w:rsidRPr="006C010D" w:rsidRDefault="00E024F8">
            <w:r w:rsidRPr="006C010D">
              <w:t>(ОГРН:1190280040081)</w:t>
            </w:r>
          </w:p>
          <w:p w14:paraId="566B16B4" w14:textId="77777777" w:rsidR="00E02D9D" w:rsidRPr="006C010D" w:rsidRDefault="00E024F8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6C010D">
              <w:t xml:space="preserve"> </w:t>
            </w:r>
            <w:r>
              <w:t>п</w:t>
            </w:r>
            <w:r>
              <w:t>ринята</w:t>
            </w:r>
            <w:r w:rsidRPr="006C010D">
              <w:t xml:space="preserve">: </w:t>
            </w:r>
            <w:r>
              <w:t>дата</w:t>
            </w:r>
            <w:r w:rsidRPr="006C010D">
              <w:t xml:space="preserve"> </w:t>
            </w:r>
            <w:r w:rsidRPr="006C010D">
              <w:rPr>
                <w:u w:val="single"/>
              </w:rPr>
              <w:t xml:space="preserve">«2» мая 2022 </w:t>
            </w:r>
            <w:proofErr w:type="gramStart"/>
            <w:r w:rsidRPr="006C010D">
              <w:rPr>
                <w:u w:val="single"/>
              </w:rPr>
              <w:t xml:space="preserve">года,  </w:t>
            </w:r>
            <w:r>
              <w:rPr>
                <w:u w:val="single"/>
              </w:rPr>
              <w:t>время</w:t>
            </w:r>
            <w:proofErr w:type="gramEnd"/>
            <w:r w:rsidRPr="006C010D">
              <w:rPr>
                <w:u w:val="single"/>
              </w:rPr>
              <w:t>: 14:46:39;</w:t>
            </w:r>
          </w:p>
        </w:tc>
      </w:tr>
      <w:tr w:rsidR="00E02D9D" w14:paraId="409C478B" w14:textId="77777777">
        <w:tc>
          <w:tcPr>
            <w:tcW w:w="8636" w:type="dxa"/>
            <w:shd w:val="clear" w:color="auto" w:fill="auto"/>
          </w:tcPr>
          <w:p w14:paraId="3822B439" w14:textId="77777777" w:rsidR="00E02D9D" w:rsidRPr="006C010D" w:rsidRDefault="00E024F8">
            <w:r w:rsidRPr="006C010D">
              <w:rPr>
                <w:b/>
              </w:rPr>
              <w:t xml:space="preserve">2. </w:t>
            </w:r>
            <w:r w:rsidRPr="006C010D">
              <w:rPr>
                <w:b/>
                <w:bCs/>
              </w:rPr>
              <w:t>ОБЩЕСТВО С ОГРАНИЧЕННОЙ ОТВЕТСТВЕННОСТЬЮ "БАНКРОТ.РУ"</w:t>
            </w:r>
          </w:p>
          <w:p w14:paraId="2668C28E" w14:textId="77777777" w:rsidR="00E02D9D" w:rsidRPr="006C010D" w:rsidRDefault="00E024F8">
            <w:r w:rsidRPr="006C010D">
              <w:t>(ОГРН:1201800020597)</w:t>
            </w:r>
          </w:p>
          <w:p w14:paraId="1BFC7EE1" w14:textId="77777777" w:rsidR="00E02D9D" w:rsidRPr="006C010D" w:rsidRDefault="00E024F8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6C010D">
              <w:t xml:space="preserve"> </w:t>
            </w:r>
            <w:r>
              <w:t>принята</w:t>
            </w:r>
            <w:r w:rsidRPr="006C010D">
              <w:t xml:space="preserve">: </w:t>
            </w:r>
            <w:r>
              <w:t>дата</w:t>
            </w:r>
            <w:r w:rsidRPr="006C010D">
              <w:t xml:space="preserve"> </w:t>
            </w:r>
            <w:r w:rsidRPr="006C010D">
              <w:rPr>
                <w:u w:val="single"/>
              </w:rPr>
              <w:t xml:space="preserve">«2» мая 2022 </w:t>
            </w:r>
            <w:proofErr w:type="gramStart"/>
            <w:r w:rsidRPr="006C010D">
              <w:rPr>
                <w:u w:val="single"/>
              </w:rPr>
              <w:t xml:space="preserve">года,  </w:t>
            </w:r>
            <w:r>
              <w:rPr>
                <w:u w:val="single"/>
              </w:rPr>
              <w:t>время</w:t>
            </w:r>
            <w:proofErr w:type="gramEnd"/>
            <w:r w:rsidRPr="006C010D">
              <w:rPr>
                <w:u w:val="single"/>
              </w:rPr>
              <w:t>: 14:33:37;</w:t>
            </w:r>
          </w:p>
        </w:tc>
      </w:tr>
    </w:tbl>
    <w:p w14:paraId="4671761D" w14:textId="77777777" w:rsidR="00E02D9D" w:rsidRDefault="00E024F8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09CD0F7B" w14:textId="77777777" w:rsidR="00E02D9D" w:rsidRDefault="00E024F8">
      <w:pPr>
        <w:spacing w:after="120" w:line="264" w:lineRule="auto"/>
        <w:ind w:left="567"/>
      </w:pPr>
      <w:r>
        <w:t>В ходе проведения периода т</w:t>
      </w:r>
      <w:r>
        <w:t xml:space="preserve">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20"/>
        <w:gridCol w:w="1953"/>
        <w:gridCol w:w="2227"/>
        <w:gridCol w:w="1951"/>
      </w:tblGrid>
      <w:tr w:rsidR="00E02D9D" w14:paraId="24AF7B0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AD7861A" w14:textId="77777777" w:rsidR="00E02D9D" w:rsidRDefault="00E024F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940518F" w14:textId="77777777" w:rsidR="00E02D9D" w:rsidRDefault="00E024F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385CB0C" w14:textId="77777777" w:rsidR="00E02D9D" w:rsidRDefault="00E024F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ECB34A6" w14:textId="77777777" w:rsidR="00E02D9D" w:rsidRDefault="00E024F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E02D9D" w14:paraId="0AE4D603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B0E9FC4" w14:textId="77777777" w:rsidR="00E02D9D" w:rsidRDefault="00E024F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6C010D">
              <w:rPr>
                <w:b/>
                <w:sz w:val="20"/>
                <w:szCs w:val="20"/>
              </w:rPr>
              <w:t>Общество с ограниченной ответственностью "Компания "СОДРУЖЕСТВО"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B140A33" w14:textId="77777777" w:rsidR="00E02D9D" w:rsidRDefault="00E024F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2 933 000.00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AD84B3A" w14:textId="77777777" w:rsidR="00E02D9D" w:rsidRDefault="00E024F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28.04.2022 10:00:00 ⇆ </w:t>
            </w:r>
            <w:r>
              <w:rPr>
                <w:sz w:val="20"/>
                <w:szCs w:val="20"/>
              </w:rPr>
              <w:t>02.05.2022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6CABDEB" w14:textId="77777777" w:rsidR="00E02D9D" w:rsidRDefault="00E024F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02.05.2022 14:46:39.362078</w:t>
            </w:r>
          </w:p>
        </w:tc>
      </w:tr>
      <w:tr w:rsidR="00E02D9D" w14:paraId="1EC2F74A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7F2EB50" w14:textId="77777777" w:rsidR="00E02D9D" w:rsidRDefault="00E024F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6C010D">
              <w:rPr>
                <w:b/>
                <w:sz w:val="20"/>
                <w:szCs w:val="20"/>
              </w:rPr>
              <w:t>ОБЩЕСТВО С ОГРАНИЧЕННОЙ ОТВЕТСТВЕННОСТЬЮ "БАНКРОТ.РУ"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D3A14B6" w14:textId="77777777" w:rsidR="00E02D9D" w:rsidRDefault="00E024F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2 912 100.00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83949E3" w14:textId="77777777" w:rsidR="00E02D9D" w:rsidRDefault="00E024F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28.04.2022 10:00:00 ⇆ 02.05.2022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8D42CAF" w14:textId="77777777" w:rsidR="00E02D9D" w:rsidRDefault="00E024F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02.05.2022 14:33:37.019697</w:t>
            </w:r>
            <w:bookmarkStart w:id="7" w:name="_Hlk37851796"/>
            <w:bookmarkEnd w:id="7"/>
          </w:p>
        </w:tc>
      </w:tr>
    </w:tbl>
    <w:p w14:paraId="389590D3" w14:textId="77777777" w:rsidR="00E02D9D" w:rsidRDefault="00E024F8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6"/>
        <w:gridCol w:w="2432"/>
        <w:gridCol w:w="2261"/>
        <w:gridCol w:w="2062"/>
      </w:tblGrid>
      <w:tr w:rsidR="00E02D9D" w14:paraId="535DF7D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CE1B84E" w14:textId="77777777" w:rsidR="00E02D9D" w:rsidRDefault="00E02D9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A687761" w14:textId="77777777" w:rsidR="00E02D9D" w:rsidRDefault="00E024F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4B8A56B" w14:textId="77777777" w:rsidR="00E02D9D" w:rsidRDefault="00E024F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AAEEA43" w14:textId="77777777" w:rsidR="00E02D9D" w:rsidRDefault="00E024F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E02D9D" w14:paraId="5FDD8382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6FAA5DC" w14:textId="77777777" w:rsidR="00E02D9D" w:rsidRDefault="00E024F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8B9DB2F" w14:textId="77777777" w:rsidR="00E02D9D" w:rsidRDefault="00E024F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6C010D">
              <w:rPr>
                <w:b/>
                <w:sz w:val="20"/>
                <w:szCs w:val="20"/>
              </w:rPr>
              <w:t>Общество с ограниченной ответственностью "Компания "СОДРУЖЕСТВО"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D1A9A5A" w14:textId="77777777" w:rsidR="00E02D9D" w:rsidRDefault="00E024F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6C010D">
              <w:rPr>
                <w:sz w:val="20"/>
                <w:szCs w:val="20"/>
              </w:rPr>
              <w:t>453500, РЕСПУБЛИКА БАШКОРТОСТАН, РАЙОН БЕЛОРЕЦКИЙ, ГОРОД БЕЛОРЕЦК, УЛИЦА ТОЧИССКОГО, ДОМ 25</w:t>
            </w:r>
            <w:r w:rsidRPr="006C010D">
              <w:rPr>
                <w:sz w:val="20"/>
                <w:szCs w:val="20"/>
              </w:rPr>
              <w:t>, Литера А, ОФИС 202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0A04756" w14:textId="77777777" w:rsidR="00E02D9D" w:rsidRDefault="00E024F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2 933 000.00</w:t>
            </w:r>
          </w:p>
        </w:tc>
      </w:tr>
    </w:tbl>
    <w:p w14:paraId="500B0730" w14:textId="77777777" w:rsidR="00E02D9D" w:rsidRDefault="00E024F8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521FAB08" w14:textId="24A40F46" w:rsidR="00E02D9D" w:rsidRDefault="00E024F8">
      <w:pPr>
        <w:spacing w:after="120" w:line="264" w:lineRule="auto"/>
        <w:ind w:left="567"/>
      </w:pPr>
      <w:r>
        <w:t>Договор купли-продажи по результатам торгов между продавцом и победителем заключается в срок не позднее 5 дней с даты получения проекта договора победителем.</w:t>
      </w:r>
    </w:p>
    <w:p w14:paraId="44EABE0E" w14:textId="2C009F36" w:rsidR="006C010D" w:rsidRDefault="006C010D">
      <w:pPr>
        <w:spacing w:after="120" w:line="264" w:lineRule="auto"/>
        <w:ind w:left="567"/>
      </w:pPr>
      <w:r>
        <w:t>Проект договора купли-продажи организатор торгов направляет победителю торгов не ранее получения от другого участника общей собственности на объект недвижимости, включающего лот, отказа от покупки</w:t>
      </w:r>
      <w:r w:rsidR="00C974DC">
        <w:t xml:space="preserve"> этого</w:t>
      </w:r>
      <w:r>
        <w:t xml:space="preserve"> лота (перевода прав покупателя на себя</w:t>
      </w:r>
      <w:r w:rsidR="00C974DC">
        <w:t>)</w:t>
      </w:r>
      <w:r w:rsidR="008C66E4">
        <w:t xml:space="preserve"> по предложенной победителем торгов цене</w:t>
      </w:r>
      <w:r w:rsidR="00C974DC">
        <w:t>, но не позднее 24.06.2022г.</w:t>
      </w:r>
    </w:p>
    <w:p w14:paraId="2E77142A" w14:textId="77777777" w:rsidR="008C66E4" w:rsidRDefault="008C66E4">
      <w:pPr>
        <w:spacing w:after="120" w:line="264" w:lineRule="auto"/>
        <w:ind w:left="567"/>
      </w:pPr>
    </w:p>
    <w:p w14:paraId="1575E76B" w14:textId="77777777" w:rsidR="008C66E4" w:rsidRDefault="008C66E4">
      <w:pPr>
        <w:spacing w:after="120" w:line="264" w:lineRule="auto"/>
        <w:ind w:left="567"/>
      </w:pPr>
    </w:p>
    <w:p w14:paraId="76380A5B" w14:textId="332F8E60" w:rsidR="00C974DC" w:rsidRDefault="00C974DC">
      <w:pPr>
        <w:spacing w:after="120" w:line="264" w:lineRule="auto"/>
        <w:ind w:left="567"/>
      </w:pPr>
      <w:r>
        <w:t>Проект договора купли-продажи или отказ от его заключения направляется победителю торгов по адресу электронной почты, указанному в</w:t>
      </w:r>
      <w:r w:rsidR="00E97182">
        <w:t xml:space="preserve"> его</w:t>
      </w:r>
      <w:r>
        <w:t xml:space="preserve"> заявке на участие в торгах. В случае отказа </w:t>
      </w:r>
      <w:r w:rsidR="00E97182">
        <w:t>организатора торгов от заключения с победителем торгов договора купли-продажи по причине перевода прав покупателя на другого участника общей собственности уплаченный участником торгов задаток подлежит немедленному возврату.</w:t>
      </w:r>
    </w:p>
    <w:p w14:paraId="23F12FA5" w14:textId="77777777" w:rsidR="00E02D9D" w:rsidRDefault="00E024F8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 xml:space="preserve">16. </w:t>
      </w:r>
      <w:r>
        <w:t>Сроки платежей, реквизиты счетов, на которые вносятся платежи</w:t>
      </w:r>
    </w:p>
    <w:p w14:paraId="76BD8955" w14:textId="27196024" w:rsidR="00E02D9D" w:rsidRDefault="00E024F8">
      <w:pPr>
        <w:spacing w:after="120" w:line="264" w:lineRule="auto"/>
        <w:ind w:left="567"/>
      </w:pPr>
      <w:r>
        <w:t>Покупатель</w:t>
      </w:r>
      <w:r>
        <w:t xml:space="preserve"> на основании </w:t>
      </w:r>
      <w:r>
        <w:t>договора</w:t>
      </w:r>
      <w:r w:rsidR="008C66E4">
        <w:t xml:space="preserve"> купли-продажи</w:t>
      </w:r>
      <w:r>
        <w:t xml:space="preserve"> осуществляет платеж в денежной форме путем перечисления денежных средств по следующим реквизитам: счет получателя: № 408178104165</w:t>
      </w:r>
      <w:r>
        <w:t>48345884 в Отделении № 7003 ПАО «Сбербанк» г. Екатеринбург, ИНН 7707083893, кор. счет: 30101810500000000674, БИК 046577674, получатель: Топоркова Надежда Леонидовна, ИНН 666103867633. При продаже имущества оплата в соответствии с договором купли продажи им</w:t>
      </w:r>
      <w:r>
        <w:t>ущества должна быть осуществлена покупателем в течение 30 дней со дня подписания договора. Всё оформление и расходы связанные с переходом права собственности на имущество, в том числе регистрация, полностью возлагаются на покупателя.</w:t>
      </w:r>
    </w:p>
    <w:p w14:paraId="604A6B27" w14:textId="77777777" w:rsidR="00E02D9D" w:rsidRDefault="00E024F8">
      <w:pPr>
        <w:pStyle w:val="af4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</w:t>
      </w:r>
      <w:r>
        <w:t>ветствии с Федеральным законом от 26 октября 2002 г. №127-ФЗ «О несостоятельности (банкротстве)».</w:t>
      </w:r>
    </w:p>
    <w:p w14:paraId="21FD98F4" w14:textId="77777777" w:rsidR="00E02D9D" w:rsidRPr="006C010D" w:rsidRDefault="00E024F8">
      <w:pPr>
        <w:pStyle w:val="af6"/>
        <w:spacing w:before="280" w:after="280"/>
        <w:ind w:left="567"/>
        <w:jc w:val="both"/>
      </w:pPr>
      <w:r>
        <w:t>Организатор</w:t>
      </w:r>
      <w:r w:rsidRPr="006C010D">
        <w:t xml:space="preserve"> </w:t>
      </w:r>
      <w:r>
        <w:t>торгов</w:t>
      </w:r>
      <w:r w:rsidRPr="006C010D">
        <w:t xml:space="preserve"> </w:t>
      </w:r>
    </w:p>
    <w:p w14:paraId="18E17DB1" w14:textId="77777777" w:rsidR="00E02D9D" w:rsidRPr="006C010D" w:rsidRDefault="00E024F8">
      <w:pPr>
        <w:pStyle w:val="af6"/>
        <w:spacing w:before="280" w:after="280"/>
        <w:ind w:left="567"/>
        <w:jc w:val="both"/>
        <w:rPr>
          <w:b/>
        </w:rPr>
      </w:pPr>
      <w:r w:rsidRPr="006C010D">
        <w:rPr>
          <w:b/>
        </w:rPr>
        <w:t xml:space="preserve">(Ефимов Сергей Александрович) </w:t>
      </w:r>
    </w:p>
    <w:p w14:paraId="1D9FB9DB" w14:textId="77777777" w:rsidR="00E02D9D" w:rsidRDefault="00E024F8">
      <w:pPr>
        <w:pStyle w:val="af6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 w14:paraId="13A9D623" w14:textId="77777777" w:rsidR="00E02D9D" w:rsidRDefault="00E02D9D">
      <w:pPr>
        <w:spacing w:after="120" w:line="264" w:lineRule="auto"/>
        <w:rPr>
          <w:lang w:val="en-US"/>
        </w:rPr>
      </w:pPr>
    </w:p>
    <w:p w14:paraId="7588AC71" w14:textId="77777777" w:rsidR="00E02D9D" w:rsidRDefault="00E02D9D">
      <w:pPr>
        <w:pStyle w:val="af6"/>
        <w:spacing w:before="120" w:beforeAutospacing="0" w:after="120" w:afterAutospacing="0" w:line="264" w:lineRule="auto"/>
        <w:jc w:val="both"/>
        <w:rPr>
          <w:lang w:val="en-US"/>
        </w:rPr>
      </w:pPr>
    </w:p>
    <w:sectPr w:rsidR="00E02D9D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06298" w14:textId="77777777" w:rsidR="00E024F8" w:rsidRDefault="00E024F8">
      <w:r>
        <w:separator/>
      </w:r>
    </w:p>
  </w:endnote>
  <w:endnote w:type="continuationSeparator" w:id="0">
    <w:p w14:paraId="011977BC" w14:textId="77777777" w:rsidR="00E024F8" w:rsidRDefault="00E0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9C9F4" w14:textId="77777777" w:rsidR="00E024F8" w:rsidRDefault="00E024F8">
      <w:r>
        <w:separator/>
      </w:r>
    </w:p>
  </w:footnote>
  <w:footnote w:type="continuationSeparator" w:id="0">
    <w:p w14:paraId="3979207F" w14:textId="77777777" w:rsidR="00E024F8" w:rsidRDefault="00E02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EE575" w14:textId="77777777" w:rsidR="00E02D9D" w:rsidRDefault="00E024F8">
    <w:pPr>
      <w:pStyle w:val="af8"/>
    </w:pPr>
    <w:r>
      <w:rPr>
        <w:noProof/>
      </w:rPr>
      <w:drawing>
        <wp:anchor distT="0" distB="0" distL="0" distR="0" simplePos="0" relativeHeight="3" behindDoc="1" locked="0" layoutInCell="1" allowOverlap="1" wp14:anchorId="130DA12B" wp14:editId="0CECB9DA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9D"/>
    <w:rsid w:val="006C010D"/>
    <w:rsid w:val="008C66E4"/>
    <w:rsid w:val="00BE2A26"/>
    <w:rsid w:val="00C974DC"/>
    <w:rsid w:val="00E024F8"/>
    <w:rsid w:val="00E02D9D"/>
    <w:rsid w:val="00E9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66D8"/>
  <w15:docId w15:val="{9D5E8517-B69A-437B-BD10-68DD63F2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styleId="a9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c">
    <w:name w:val="Тема примечания Знак"/>
    <w:basedOn w:val="ab"/>
    <w:uiPriority w:val="99"/>
    <w:semiHidden/>
    <w:qFormat/>
    <w:rsid w:val="001B29E0"/>
    <w:rPr>
      <w:rFonts w:eastAsiaTheme="minorEastAsia"/>
      <w:b/>
      <w:bCs/>
    </w:rPr>
  </w:style>
  <w:style w:type="character" w:customStyle="1" w:styleId="ad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f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2">
    <w:name w:val="Title"/>
    <w:basedOn w:val="a"/>
    <w:next w:val="af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4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5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6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7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a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1B29E0"/>
    <w:rPr>
      <w:b/>
      <w:bCs/>
    </w:rPr>
  </w:style>
  <w:style w:type="paragraph" w:styleId="afc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Сергей Ефимов</cp:lastModifiedBy>
  <cp:revision>3</cp:revision>
  <dcterms:created xsi:type="dcterms:W3CDTF">2022-05-03T08:50:00Z</dcterms:created>
  <dcterms:modified xsi:type="dcterms:W3CDTF">2022-05-03T09:04:00Z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