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5433–ОАЗФ/2/1</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1</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«28» апреля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5433-ОАЗФ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Право требования (дебиторская задолженность) к юридическим лицам на общую сумму 74681659,58 рублей: ООО "НИВА" на сумму 15 721 746,28 рублей, ООО "Шекснинский бройлер" на сумму 58 751 927,3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67 213 493.62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«14» марта 2022г. 00:00:00</w:t>
      </w:r>
    </w:p>
    <w:p w14:paraId="268230BC" w14:textId="77777777" w:rsidR="00946FCB" w:rsidRDefault="00814156">
      <w:pPr>
        <w:spacing w:after="120" w:line="264" w:lineRule="auto"/>
        <w:ind w:left="142" w:firstLine="425"/>
      </w:pPr>
      <w:r>
        <w:t>Дата окончания представления заявок: «16» апреля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«19» апреля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