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5387–ОАОФ/1/1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Савин Алексей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ГАЗ 27057, год выпуска: 2013, категория: В, гос. рег. знак: P865ВА50, VIN: X96270570D0748336.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41-75755/2020.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Савин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апреля 2022г. 23:59:59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12:06:03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12:06:03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Недостоверные контактные данные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