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Право требования к Киселевой Валерии Михайловне в размере 3 990 700,00 руб., ИНН 502205601377..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3 990 700.00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5158–ОТПП/2/53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16:54:43;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тришкин александр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(ОГРНИП:318502200020378)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16:53:45;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16:48:01;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16:47:28;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Кучеренко Антон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(ИНН:502238085625)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16:42:39;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16:27:13;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15:54:52;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15:50:51;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13:21:39;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Попов Александр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(ИНН:690300715187)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11:28:54;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Чихирев Сергей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(ИНН:772878163310)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10:23:26;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10:16:37;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Краснов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(ИНН:520601612300)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22:46:37;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20:07:30;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20:04:42;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19:55:09;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13:23:39;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11:20:39;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01:17:29;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15:53:50;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ИП Ларионов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(ОГРНИП:318502700029628)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13:49:40;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Криволапова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(ИНН:501903040063)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19:45:33;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18:29:48;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17:50:34;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17:09:17;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08:11:28;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157 775.10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16:54:43.712234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тришкин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16:53:45.711047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212 121.21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16:48:01.227144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266 699.90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16:46:15.047086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16:47:28.697896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Кучеренко Антон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16:42:39.949281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16:27:13.969264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15:54:52.464890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15:50:51.533978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13:21:39.106723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Попов Александр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11:28:54.775613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Чихирев Сергей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10:23:26.452046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10:16:37.836782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Краснов Михаил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22:46:37.954529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20:07:30.987932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20:04:42.334287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19:55:09.142464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13:23:39.098440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11:20:39.750862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01:17:29.516808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15:53:50.527083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Ларионов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13:49:40.227977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Криволапова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19:45:33.336409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18:29:48.643935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17:50:34.885691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17:09:17.386865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08:11:28.050697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656066, Алтайский край, г. Барнаул, ул. Малахова, д. 116, кв. 81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266 699.90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