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Право требования к лицам (солидарно):
1.Ряпину Сергею Николаевичу  
2. Ковалеву Александру Сергеевичу
3. Ковалеву Роману Константиновичу 
в размере 19 000 руб. 
Основание: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5158–ОТПП/2/44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20:02:12;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19:50:20;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14:15:09;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11:15:49;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18:26:17;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17:45:48;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17:01:59;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07:59:07;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20:02:12.585862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19:50:20.056088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14:15:09.196454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11:15:49.913256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18:26:17.677979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17:45:48.592068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17:01:59.683993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07:59:07.104565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ул. Судостроительная, д. 41, кв. 212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