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 к 22 лицам на общую сумму 240 237 371,80 руб. Подробный состав лота приложен в файле «Состав Лота № 1 – Права требования (дебиторская задолженность)»,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216 213 634.62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25.03.2022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5280–ОТПП/2/1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Александров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(ИНН:183303616870)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19:57:21;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Деева Тамара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(ОГРНИП:319312300089999)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13:46:24;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"Торговый день"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(ОГРН:1213100001377)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11:33:49;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Александров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865 657.00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25.03.2022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19:57:21.951548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Деева Тамара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25.03.2022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13:46:24.851851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"Торговый день"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25.03.2022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11:33:49.407515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Деева Тамара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309503, Белгородская область, г. Старый Оскол, а/я 1377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/ цессии с приложением проекта договора. 
В случае отказа или уклонения победителя торгов от подписания договора в течение 5 дней с даты получения указанного предложения конкурсного управляющего, внесенный задаток ему не возвращается и конкурсный управляющий вправе предложить заключить договор купли-продажи / цессии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приобретенное имущество не позднее 30 дней со дня подписания договора купли-продажи / цессии за вычетом суммы задатка, если иное не предусматривается протоколом о результатах торгов, по реквизитам: Получатель: ООО «ЛИДЕРТЕХ», ИНН 7710497189 КПП 771001001, р/с 40702810400320002685 в Филиал «Центральный» Банка ВТБ (ПАО) в г. Москве, БИК 044525411, к/с 30101810145250000411.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