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="0031573B">
        <w:rPr>
          <w:sz w:val="22"/>
          <w:szCs w:val="22"/>
        </w:rPr>
        <w:tab/>
        <w:t xml:space="preserve"> «___» ________ 202</w:t>
      </w:r>
      <w:r w:rsidR="00482C31">
        <w:rPr>
          <w:sz w:val="22"/>
          <w:szCs w:val="22"/>
        </w:rPr>
        <w:t>2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482C31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482C31">
        <w:rPr>
          <w:b/>
          <w:sz w:val="22"/>
          <w:szCs w:val="22"/>
        </w:rPr>
        <w:t xml:space="preserve">Общество с ограниченной ответственностью  </w:t>
      </w:r>
      <w:r w:rsidRPr="00482C31">
        <w:rPr>
          <w:b/>
          <w:bCs/>
          <w:sz w:val="22"/>
          <w:szCs w:val="22"/>
        </w:rPr>
        <w:t>«Завод «Алмаз-Кабель»</w:t>
      </w:r>
      <w:r w:rsidRPr="00482C31">
        <w:rPr>
          <w:bCs/>
          <w:sz w:val="22"/>
          <w:szCs w:val="22"/>
        </w:rPr>
        <w:t xml:space="preserve"> (ОГРН 1068609004507, ИНН 8609223946, адрес: 628460, ХАНТЫ-МАНСИЙСКИЙ АВТОНОМНЫЙ ОКРУГ - ЮГРА, ГОРОД РАДУЖНЫЙ, ЗОНА ЮЖНАЯ ПРОМЫШЛЕННАЯ)</w:t>
      </w:r>
      <w:r w:rsidRPr="00482C31">
        <w:rPr>
          <w:sz w:val="22"/>
          <w:szCs w:val="22"/>
        </w:rPr>
        <w:t xml:space="preserve">, конкурсное производство открыто Решением Арбитражного суда Ханты-Мансийского автономного округа-Югры от «25» декабря 2020 г. (резолютивная часть) по делу № А75-23480/2019, в лице конкурного управляющего Ноготкова Кирилла Олеговича, действующего на основании </w:t>
      </w:r>
      <w:proofErr w:type="spellStart"/>
      <w:r w:rsidRPr="00482C31">
        <w:rPr>
          <w:sz w:val="22"/>
          <w:szCs w:val="22"/>
        </w:rPr>
        <w:t>Решениия</w:t>
      </w:r>
      <w:proofErr w:type="spellEnd"/>
      <w:r w:rsidRPr="00482C31">
        <w:rPr>
          <w:sz w:val="22"/>
          <w:szCs w:val="22"/>
        </w:rPr>
        <w:t xml:space="preserve"> Арбитражного суда Ханты-Мансийского автономного округа-Югры от «25» декабря</w:t>
      </w:r>
      <w:proofErr w:type="gramEnd"/>
      <w:r w:rsidRPr="00482C31">
        <w:rPr>
          <w:sz w:val="22"/>
          <w:szCs w:val="22"/>
        </w:rPr>
        <w:t xml:space="preserve"> </w:t>
      </w:r>
      <w:proofErr w:type="gramStart"/>
      <w:r w:rsidRPr="00482C31">
        <w:rPr>
          <w:sz w:val="22"/>
          <w:szCs w:val="22"/>
        </w:rPr>
        <w:t>2020 г. (резолютивная часть) по делу № А75-23480/2019</w:t>
      </w:r>
      <w:r w:rsidR="000E0853" w:rsidRPr="00710CBD">
        <w:rPr>
          <w:sz w:val="22"/>
          <w:szCs w:val="22"/>
        </w:rPr>
        <w:t>,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0E0853"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31573B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>105082, г. Москва</w:t>
      </w:r>
      <w:r w:rsidR="00482C31" w:rsidRPr="00482C31">
        <w:rPr>
          <w:sz w:val="22"/>
          <w:szCs w:val="22"/>
        </w:rPr>
        <w:t>,</w:t>
      </w:r>
      <w:r w:rsidR="00482C31">
        <w:rPr>
          <w:sz w:val="22"/>
          <w:szCs w:val="22"/>
        </w:rPr>
        <w:t xml:space="preserve"> </w:t>
      </w:r>
      <w:proofErr w:type="spellStart"/>
      <w:r w:rsidR="00482C31">
        <w:rPr>
          <w:sz w:val="22"/>
          <w:szCs w:val="22"/>
        </w:rPr>
        <w:t>Балакиревский</w:t>
      </w:r>
      <w:proofErr w:type="spellEnd"/>
      <w:r w:rsidR="00482C31">
        <w:rPr>
          <w:sz w:val="22"/>
          <w:szCs w:val="22"/>
        </w:rPr>
        <w:t xml:space="preserve"> пер. д. 19 офис 106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DE10AC">
        <w:rPr>
          <w:sz w:val="22"/>
          <w:szCs w:val="22"/>
        </w:rPr>
        <w:t xml:space="preserve">о </w:t>
      </w:r>
      <w:r w:rsidR="00482C31" w:rsidRPr="00482C31">
        <w:rPr>
          <w:bCs/>
          <w:sz w:val="22"/>
          <w:szCs w:val="22"/>
        </w:rPr>
        <w:t>ООО</w:t>
      </w:r>
      <w:proofErr w:type="gramEnd"/>
      <w:r w:rsidR="00482C31" w:rsidRPr="00482C31">
        <w:rPr>
          <w:bCs/>
          <w:sz w:val="22"/>
          <w:szCs w:val="22"/>
        </w:rPr>
        <w:t xml:space="preserve"> «Завод «Алмаз-Кабель»</w:t>
      </w:r>
      <w:r w:rsidR="00482C31" w:rsidRPr="00482C31">
        <w:rPr>
          <w:sz w:val="22"/>
          <w:szCs w:val="22"/>
        </w:rPr>
        <w:t xml:space="preserve"> </w:t>
      </w:r>
      <w:bookmarkStart w:id="0" w:name="_GoBack"/>
      <w:bookmarkEnd w:id="0"/>
      <w:r w:rsidR="0031573B">
        <w:rPr>
          <w:sz w:val="22"/>
          <w:szCs w:val="22"/>
        </w:rPr>
        <w:t>от «__» _______ 202</w:t>
      </w:r>
      <w:r w:rsidRPr="00DE10AC">
        <w:rPr>
          <w:sz w:val="22"/>
          <w:szCs w:val="22"/>
        </w:rPr>
        <w:t>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F16206" w:rsidRDefault="00206097" w:rsidP="00F16206">
      <w:pPr>
        <w:pStyle w:val="a7"/>
        <w:numPr>
          <w:ilvl w:val="2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proofErr w:type="gramStart"/>
      <w:r w:rsidRPr="00F16206">
        <w:rPr>
          <w:rFonts w:ascii="Times New Roman" w:hAnsi="Times New Roman" w:cs="Times New Roman"/>
        </w:rPr>
        <w:t xml:space="preserve">Цедент – </w:t>
      </w:r>
      <w:r w:rsidR="00482C31" w:rsidRPr="00482C31">
        <w:rPr>
          <w:rFonts w:ascii="Times New Roman" w:hAnsi="Times New Roman" w:cs="Times New Roman"/>
          <w:bCs/>
        </w:rPr>
        <w:t>ООО «Завод «Алмаз-Кабель»</w:t>
      </w:r>
      <w:r w:rsidR="00482C31" w:rsidRPr="00482C31">
        <w:rPr>
          <w:rFonts w:ascii="Times New Roman" w:hAnsi="Times New Roman" w:cs="Times New Roman"/>
        </w:rPr>
        <w:t xml:space="preserve"> </w:t>
      </w:r>
      <w:r w:rsidR="00F16206" w:rsidRPr="00F16206">
        <w:rPr>
          <w:rFonts w:ascii="Times New Roman" w:hAnsi="Times New Roman" w:cs="Times New Roman"/>
        </w:rPr>
        <w:t>(</w:t>
      </w:r>
      <w:r w:rsidR="00482C31" w:rsidRPr="00482C31">
        <w:rPr>
          <w:rFonts w:ascii="Times New Roman" w:hAnsi="Times New Roman" w:cs="Times New Roman"/>
          <w:bCs/>
        </w:rPr>
        <w:t>(ОГРН 1068609004507, ИНН 8609223946, адрес: 628460, ХАНТЫ-МАНСИЙСКИЙ АВТОНОМНЫЙ ОКРУГ - ЮГРА, ГОРОД РАДУЖНЫЙ, ЗОНА ЮЖНАЯ ПРОМЫШЛЕННАЯ</w:t>
      </w:r>
      <w:r w:rsidR="00F16206" w:rsidRPr="00F16206">
        <w:rPr>
          <w:rFonts w:ascii="Times New Roman" w:hAnsi="Times New Roman" w:cs="Times New Roman"/>
        </w:rPr>
        <w:t>)</w:t>
      </w:r>
      <w:r w:rsidR="00F16206">
        <w:rPr>
          <w:rFonts w:ascii="Times New Roman" w:hAnsi="Times New Roman" w:cs="Times New Roman"/>
        </w:rPr>
        <w:t>.</w:t>
      </w:r>
      <w:proofErr w:type="gramEnd"/>
    </w:p>
    <w:p w:rsidR="00295971" w:rsidRPr="00F16206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F16206">
        <w:rPr>
          <w:rFonts w:ascii="Times New Roman" w:hAnsi="Times New Roman" w:cs="Times New Roman"/>
        </w:rPr>
        <w:t>Цессионарий</w:t>
      </w:r>
      <w:proofErr w:type="gramStart"/>
      <w:r w:rsidRPr="00F16206">
        <w:rPr>
          <w:rFonts w:ascii="Times New Roman" w:hAnsi="Times New Roman" w:cs="Times New Roman"/>
        </w:rPr>
        <w:t xml:space="preserve"> –_________________________________________________________;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</w:t>
      </w:r>
      <w:r w:rsidR="0031573B">
        <w:rPr>
          <w:rFonts w:ascii="Times New Roman" w:hAnsi="Times New Roman" w:cs="Times New Roman"/>
        </w:rPr>
        <w:t>окол № ________ от _________ 202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482C31" w:rsidRPr="00482C31" w:rsidRDefault="00482C31" w:rsidP="00482C3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82C31">
              <w:rPr>
                <w:b/>
                <w:bCs/>
                <w:sz w:val="22"/>
                <w:szCs w:val="22"/>
              </w:rPr>
              <w:t>ООО «Завод «Алмаз-Кабель»</w:t>
            </w:r>
          </w:p>
          <w:p w:rsidR="00482C31" w:rsidRPr="00482C31" w:rsidRDefault="00482C31" w:rsidP="00482C31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482C31" w:rsidRPr="00482C31" w:rsidRDefault="00482C31" w:rsidP="00482C31">
            <w:pPr>
              <w:rPr>
                <w:sz w:val="22"/>
                <w:szCs w:val="22"/>
              </w:rPr>
            </w:pPr>
            <w:r w:rsidRPr="00482C31">
              <w:rPr>
                <w:sz w:val="22"/>
                <w:szCs w:val="22"/>
              </w:rPr>
              <w:t>ИНН 8609223946, ОГРН 1068609004507</w:t>
            </w:r>
          </w:p>
          <w:p w:rsidR="00482C31" w:rsidRPr="00482C31" w:rsidRDefault="00482C31" w:rsidP="00482C31">
            <w:pPr>
              <w:rPr>
                <w:sz w:val="22"/>
                <w:szCs w:val="22"/>
              </w:rPr>
            </w:pPr>
            <w:r w:rsidRPr="00482C31">
              <w:rPr>
                <w:sz w:val="22"/>
                <w:szCs w:val="22"/>
              </w:rPr>
              <w:t>Адрес: 628460, ХАНТЫ-МАНСИЙСКИЙ АВТОНОМНЫЙ ОКРУГ - ЮГРА, ГОРОД РАДУЖНЫЙ, ЗОНА ЮЖНАЯ ПРОМЫШЛЕННАЯ</w:t>
            </w:r>
          </w:p>
          <w:p w:rsidR="00482C31" w:rsidRPr="00482C31" w:rsidRDefault="00482C31" w:rsidP="00482C31">
            <w:pPr>
              <w:rPr>
                <w:sz w:val="22"/>
                <w:szCs w:val="22"/>
              </w:rPr>
            </w:pPr>
            <w:proofErr w:type="gramStart"/>
            <w:r w:rsidRPr="00482C31">
              <w:rPr>
                <w:sz w:val="22"/>
                <w:szCs w:val="22"/>
              </w:rPr>
              <w:t>р</w:t>
            </w:r>
            <w:proofErr w:type="gramEnd"/>
            <w:r w:rsidRPr="00482C31">
              <w:rPr>
                <w:sz w:val="22"/>
                <w:szCs w:val="22"/>
              </w:rPr>
              <w:t>/с № 40702810667160000093</w:t>
            </w:r>
          </w:p>
          <w:p w:rsidR="00482C31" w:rsidRPr="00482C31" w:rsidRDefault="00482C31" w:rsidP="00482C31">
            <w:pPr>
              <w:rPr>
                <w:sz w:val="22"/>
                <w:szCs w:val="22"/>
              </w:rPr>
            </w:pPr>
            <w:r w:rsidRPr="00482C31">
              <w:rPr>
                <w:sz w:val="22"/>
                <w:szCs w:val="22"/>
              </w:rPr>
              <w:t>Западно-Сибирский Банк ПАО "Сбербанк России" г. Тюмень</w:t>
            </w:r>
          </w:p>
          <w:p w:rsidR="00482C31" w:rsidRPr="00482C31" w:rsidRDefault="00482C31" w:rsidP="00482C31">
            <w:pPr>
              <w:rPr>
                <w:sz w:val="22"/>
                <w:szCs w:val="22"/>
              </w:rPr>
            </w:pPr>
            <w:r w:rsidRPr="00482C31">
              <w:rPr>
                <w:sz w:val="22"/>
                <w:szCs w:val="22"/>
              </w:rPr>
              <w:t>к/с № 30101810800000000651</w:t>
            </w:r>
          </w:p>
          <w:p w:rsidR="00482C31" w:rsidRPr="00482C31" w:rsidRDefault="00482C31" w:rsidP="00482C31">
            <w:pPr>
              <w:rPr>
                <w:sz w:val="22"/>
                <w:szCs w:val="22"/>
              </w:rPr>
            </w:pPr>
            <w:r w:rsidRPr="00482C31">
              <w:rPr>
                <w:sz w:val="22"/>
                <w:szCs w:val="22"/>
              </w:rPr>
              <w:t>БИК 047102651</w:t>
            </w:r>
          </w:p>
          <w:p w:rsidR="00482C31" w:rsidRPr="00482C31" w:rsidRDefault="00482C31" w:rsidP="00482C31">
            <w:pPr>
              <w:rPr>
                <w:b/>
                <w:sz w:val="22"/>
                <w:szCs w:val="22"/>
              </w:rPr>
            </w:pPr>
          </w:p>
          <w:p w:rsidR="00482C31" w:rsidRPr="00482C31" w:rsidRDefault="00482C31" w:rsidP="00482C31">
            <w:pPr>
              <w:rPr>
                <w:b/>
                <w:sz w:val="22"/>
                <w:szCs w:val="22"/>
              </w:rPr>
            </w:pPr>
            <w:r w:rsidRPr="00482C31">
              <w:rPr>
                <w:b/>
                <w:sz w:val="22"/>
                <w:szCs w:val="22"/>
              </w:rPr>
              <w:t>Конкурсный управляющий</w:t>
            </w:r>
          </w:p>
          <w:p w:rsidR="00482C31" w:rsidRPr="00482C31" w:rsidRDefault="00482C31" w:rsidP="00482C31">
            <w:pPr>
              <w:rPr>
                <w:b/>
                <w:bCs/>
                <w:sz w:val="22"/>
                <w:szCs w:val="22"/>
              </w:rPr>
            </w:pPr>
            <w:r w:rsidRPr="00482C31">
              <w:rPr>
                <w:b/>
                <w:bCs/>
                <w:sz w:val="22"/>
                <w:szCs w:val="22"/>
              </w:rPr>
              <w:t>ООО «Завод «Алмаз-Кабель»</w:t>
            </w:r>
          </w:p>
          <w:p w:rsidR="00482C31" w:rsidRPr="00482C31" w:rsidRDefault="00482C31" w:rsidP="00482C31">
            <w:pPr>
              <w:rPr>
                <w:b/>
                <w:sz w:val="22"/>
                <w:szCs w:val="22"/>
              </w:rPr>
            </w:pPr>
          </w:p>
          <w:p w:rsidR="00482C31" w:rsidRPr="00482C31" w:rsidRDefault="00482C31" w:rsidP="00482C31">
            <w:pPr>
              <w:rPr>
                <w:b/>
                <w:sz w:val="22"/>
                <w:szCs w:val="22"/>
              </w:rPr>
            </w:pPr>
            <w:r w:rsidRPr="00482C31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Pr="00482C31">
              <w:rPr>
                <w:b/>
                <w:sz w:val="22"/>
                <w:szCs w:val="22"/>
              </w:rPr>
              <w:t>К.О.Ноготков</w:t>
            </w:r>
            <w:proofErr w:type="spellEnd"/>
            <w:r w:rsidRPr="00482C31">
              <w:rPr>
                <w:b/>
                <w:sz w:val="22"/>
                <w:szCs w:val="22"/>
              </w:rPr>
              <w:t>/</w:t>
            </w:r>
            <w:r w:rsidRPr="00482C31">
              <w:rPr>
                <w:b/>
                <w:sz w:val="22"/>
                <w:szCs w:val="22"/>
              </w:rPr>
              <w:tab/>
            </w:r>
          </w:p>
          <w:p w:rsidR="004D35DD" w:rsidRPr="006D06BF" w:rsidRDefault="00482C31" w:rsidP="00482C31">
            <w:pPr>
              <w:rPr>
                <w:rStyle w:val="paragraph"/>
                <w:bCs/>
                <w:iCs/>
              </w:rPr>
            </w:pPr>
            <w:r w:rsidRPr="00482C31">
              <w:rPr>
                <w:b/>
                <w:sz w:val="22"/>
                <w:szCs w:val="22"/>
              </w:rPr>
              <w:t>М.П.</w:t>
            </w:r>
            <w:r w:rsidRPr="00482C31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P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115A63" w:rsidRDefault="00115A63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</w:p>
    <w:p w:rsidR="00115A63" w:rsidRDefault="00115A63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</w:p>
    <w:p w:rsidR="00115A63" w:rsidRDefault="00115A63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</w:p>
    <w:p w:rsidR="00811D36" w:rsidRPr="000031C1" w:rsidRDefault="00811D36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t>Приложение №1</w:t>
      </w:r>
    </w:p>
    <w:p w:rsidR="00811D36" w:rsidRPr="007F18C6" w:rsidRDefault="00811D36" w:rsidP="00811D36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811D36" w:rsidRPr="007F18C6" w:rsidRDefault="00811D36" w:rsidP="00811D36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</w:t>
      </w:r>
      <w:r>
        <w:rPr>
          <w:sz w:val="22"/>
          <w:szCs w:val="22"/>
        </w:rPr>
        <w:t>20</w:t>
      </w:r>
      <w:r w:rsidRPr="007F18C6">
        <w:rPr>
          <w:sz w:val="22"/>
          <w:szCs w:val="22"/>
        </w:rPr>
        <w:t xml:space="preserve"> г.</w:t>
      </w:r>
    </w:p>
    <w:p w:rsidR="00811D36" w:rsidRPr="007F18C6" w:rsidRDefault="00811D36" w:rsidP="00811D36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</w:p>
    <w:p w:rsidR="00811D36" w:rsidRDefault="00811D36" w:rsidP="00811D36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r w:rsidRPr="007F18C6">
        <w:rPr>
          <w:b/>
          <w:bCs/>
        </w:rPr>
        <w:t xml:space="preserve">Перечень должников и документов, </w:t>
      </w:r>
      <w:r w:rsidRPr="007F18C6">
        <w:rPr>
          <w:b/>
        </w:rPr>
        <w:t>подтверждающих размер и обоснованность</w:t>
      </w:r>
      <w:r w:rsidRPr="007F18C6">
        <w:rPr>
          <w:b/>
          <w:color w:val="000000"/>
        </w:rPr>
        <w:t xml:space="preserve"> уступаемых имущественных прав требования.</w:t>
      </w:r>
    </w:p>
    <w:p w:rsidR="00115A63" w:rsidRDefault="00115A63" w:rsidP="00115A63">
      <w:pPr>
        <w:jc w:val="center"/>
        <w:rPr>
          <w:b/>
        </w:rPr>
      </w:pPr>
    </w:p>
    <w:p w:rsidR="00115A63" w:rsidRPr="00E9630C" w:rsidRDefault="00115A63" w:rsidP="00115A63">
      <w:pPr>
        <w:jc w:val="center"/>
        <w:rPr>
          <w:b/>
        </w:rPr>
      </w:pPr>
      <w:r w:rsidRPr="00E9630C">
        <w:rPr>
          <w:b/>
        </w:rPr>
        <w:t>Лот №1</w:t>
      </w:r>
    </w:p>
    <w:tbl>
      <w:tblPr>
        <w:tblW w:w="487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06"/>
        <w:gridCol w:w="2656"/>
        <w:gridCol w:w="1692"/>
        <w:gridCol w:w="2611"/>
        <w:gridCol w:w="2309"/>
      </w:tblGrid>
      <w:tr w:rsidR="00115A63" w:rsidRPr="00A51D3D" w:rsidTr="00426EDC">
        <w:trPr>
          <w:trHeight w:val="51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№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Наименование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ИНН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Статус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 xml:space="preserve"> Сумма задолженности  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ООО «</w:t>
            </w:r>
            <w:proofErr w:type="spellStart"/>
            <w:r w:rsidRPr="00A51D3D">
              <w:t>Прайм</w:t>
            </w:r>
            <w:proofErr w:type="spellEnd"/>
            <w:r w:rsidRPr="00A51D3D">
              <w:t xml:space="preserve"> Холл»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9729095159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3 520 000,00       </w:t>
            </w:r>
          </w:p>
        </w:tc>
      </w:tr>
      <w:tr w:rsidR="00115A63" w:rsidRPr="00A51D3D" w:rsidTr="00426EDC">
        <w:trPr>
          <w:trHeight w:val="5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ООО «</w:t>
            </w:r>
            <w:proofErr w:type="spellStart"/>
            <w:r w:rsidRPr="00A51D3D">
              <w:t>Прайм</w:t>
            </w:r>
            <w:proofErr w:type="spellEnd"/>
            <w:r w:rsidRPr="00A51D3D">
              <w:t xml:space="preserve"> Холл»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9729095159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264 908, 62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ООО «</w:t>
            </w:r>
            <w:proofErr w:type="spellStart"/>
            <w:r w:rsidRPr="00A51D3D">
              <w:t>Прайм</w:t>
            </w:r>
            <w:proofErr w:type="spellEnd"/>
            <w:r w:rsidRPr="00A51D3D">
              <w:t xml:space="preserve"> Холл»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9729095159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40 600,00         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ООО «Спорт Старт»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20 080 000,00         </w:t>
            </w:r>
          </w:p>
        </w:tc>
      </w:tr>
      <w:tr w:rsidR="00115A63" w:rsidRPr="00A51D3D" w:rsidTr="00426EDC">
        <w:trPr>
          <w:trHeight w:val="10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ООО «Спорт Старт»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Не </w:t>
            </w: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 2 802 835,04         </w:t>
            </w:r>
          </w:p>
        </w:tc>
      </w:tr>
      <w:tr w:rsidR="00115A63" w:rsidRPr="00A51D3D" w:rsidTr="00426EDC">
        <w:trPr>
          <w:trHeight w:val="5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ООО «Спорт Старт»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Не </w:t>
            </w: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700 000,00            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ООО «Спорт Старт»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1 080 740,79            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ООО «Спорт Старт»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5 080 940,80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ООО «Спорт Старт»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Не </w:t>
            </w: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369 940,69</w:t>
            </w:r>
          </w:p>
        </w:tc>
      </w:tr>
      <w:tr w:rsidR="00115A63" w:rsidRPr="00A51D3D" w:rsidTr="00426EDC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ООО «Спорт Старт»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7731316620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63" w:rsidRPr="00A51D3D" w:rsidRDefault="00115A63" w:rsidP="00426EDC">
            <w:pPr>
              <w:jc w:val="center"/>
            </w:pPr>
            <w:r w:rsidRPr="00A51D3D">
              <w:t>154 208,00</w:t>
            </w:r>
          </w:p>
        </w:tc>
      </w:tr>
      <w:tr w:rsidR="00115A63" w:rsidRPr="00A51D3D" w:rsidTr="00426EDC">
        <w:trPr>
          <w:trHeight w:val="10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ООО  «СТД «Петрович»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>7802348846 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proofErr w:type="gramStart"/>
            <w:r w:rsidRPr="00A51D3D">
              <w:t>Подтвержденная</w:t>
            </w:r>
            <w:proofErr w:type="gramEnd"/>
            <w:r w:rsidRPr="00A51D3D">
              <w:t xml:space="preserve"> дебитором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</w:pPr>
            <w:r w:rsidRPr="00A51D3D">
              <w:t xml:space="preserve">  2 822,99    </w:t>
            </w:r>
          </w:p>
        </w:tc>
      </w:tr>
      <w:tr w:rsidR="00115A63" w:rsidRPr="00A51D3D" w:rsidTr="00426EDC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ИТОГО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 w:rsidRPr="00A51D3D">
              <w:rPr>
                <w:b/>
                <w:bCs/>
              </w:rPr>
              <w:t> 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63" w:rsidRPr="00A51D3D" w:rsidRDefault="00115A63" w:rsidP="00426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34 096 996,93</w:t>
            </w:r>
            <w:r w:rsidRPr="00A51D3D">
              <w:rPr>
                <w:b/>
                <w:bCs/>
              </w:rPr>
              <w:t xml:space="preserve">  </w:t>
            </w:r>
          </w:p>
        </w:tc>
      </w:tr>
    </w:tbl>
    <w:p w:rsidR="00115A63" w:rsidRDefault="00115A63" w:rsidP="00115A63"/>
    <w:p w:rsidR="00811D36" w:rsidRDefault="00811D36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811D36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09" w:rsidRDefault="00086109" w:rsidP="00755B0A">
      <w:r>
        <w:separator/>
      </w:r>
    </w:p>
  </w:endnote>
  <w:endnote w:type="continuationSeparator" w:id="0">
    <w:p w:rsidR="00086109" w:rsidRDefault="00086109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09" w:rsidRDefault="00086109" w:rsidP="00755B0A">
      <w:r>
        <w:separator/>
      </w:r>
    </w:p>
  </w:footnote>
  <w:footnote w:type="continuationSeparator" w:id="0">
    <w:p w:rsidR="00086109" w:rsidRDefault="00086109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7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27"/>
  </w:num>
  <w:num w:numId="5">
    <w:abstractNumId w:val="6"/>
  </w:num>
  <w:num w:numId="6">
    <w:abstractNumId w:val="1"/>
  </w:num>
  <w:num w:numId="7">
    <w:abstractNumId w:val="16"/>
  </w:num>
  <w:num w:numId="8">
    <w:abstractNumId w:val="26"/>
  </w:num>
  <w:num w:numId="9">
    <w:abstractNumId w:val="15"/>
  </w:num>
  <w:num w:numId="10">
    <w:abstractNumId w:val="5"/>
  </w:num>
  <w:num w:numId="11">
    <w:abstractNumId w:val="0"/>
  </w:num>
  <w:num w:numId="12">
    <w:abstractNumId w:val="11"/>
  </w:num>
  <w:num w:numId="13">
    <w:abstractNumId w:val="25"/>
  </w:num>
  <w:num w:numId="14">
    <w:abstractNumId w:val="24"/>
  </w:num>
  <w:num w:numId="15">
    <w:abstractNumId w:val="20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21"/>
  </w:num>
  <w:num w:numId="21">
    <w:abstractNumId w:val="10"/>
  </w:num>
  <w:num w:numId="22">
    <w:abstractNumId w:val="13"/>
  </w:num>
  <w:num w:numId="23">
    <w:abstractNumId w:val="22"/>
  </w:num>
  <w:num w:numId="24">
    <w:abstractNumId w:val="14"/>
  </w:num>
  <w:num w:numId="25">
    <w:abstractNumId w:val="23"/>
  </w:num>
  <w:num w:numId="26">
    <w:abstractNumId w:val="9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86109"/>
    <w:rsid w:val="000E0853"/>
    <w:rsid w:val="00115A63"/>
    <w:rsid w:val="00196F8E"/>
    <w:rsid w:val="00206097"/>
    <w:rsid w:val="00232067"/>
    <w:rsid w:val="00295971"/>
    <w:rsid w:val="002C1FE4"/>
    <w:rsid w:val="003149A3"/>
    <w:rsid w:val="0031573B"/>
    <w:rsid w:val="00320B08"/>
    <w:rsid w:val="0035039C"/>
    <w:rsid w:val="003C3681"/>
    <w:rsid w:val="003C38FA"/>
    <w:rsid w:val="00416E64"/>
    <w:rsid w:val="00482C31"/>
    <w:rsid w:val="004D35DD"/>
    <w:rsid w:val="005F2634"/>
    <w:rsid w:val="00710CBD"/>
    <w:rsid w:val="00747FCB"/>
    <w:rsid w:val="00755B0A"/>
    <w:rsid w:val="00757E47"/>
    <w:rsid w:val="00811D36"/>
    <w:rsid w:val="00900A71"/>
    <w:rsid w:val="0098170C"/>
    <w:rsid w:val="00985348"/>
    <w:rsid w:val="009B3DD2"/>
    <w:rsid w:val="00A16D30"/>
    <w:rsid w:val="00B07AC9"/>
    <w:rsid w:val="00B8039F"/>
    <w:rsid w:val="00BC3B08"/>
    <w:rsid w:val="00CB585B"/>
    <w:rsid w:val="00CF5033"/>
    <w:rsid w:val="00DC5C9E"/>
    <w:rsid w:val="00DD2D50"/>
    <w:rsid w:val="00E01480"/>
    <w:rsid w:val="00E7346C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12</cp:revision>
  <dcterms:created xsi:type="dcterms:W3CDTF">2018-02-28T13:49:00Z</dcterms:created>
  <dcterms:modified xsi:type="dcterms:W3CDTF">2022-02-02T10:14:00Z</dcterms:modified>
</cp:coreProperties>
</file>