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spacing w:before="240" w:after="60"/>
        <w:ind w:hanging="0"/>
        <w:jc w:val="both"/>
        <w:rPr>
          <w:sz w:val="26"/>
          <w:szCs w:val="26"/>
        </w:rPr>
      </w:pPr>
      <w:r>
        <w:rPr>
          <w:sz w:val="26"/>
          <w:szCs w:val="26"/>
        </w:rPr>
        <w:drawing>
          <wp:anchor behindDoc="1" distT="0" distB="0" distL="0" distR="0" simplePos="0" locked="0" layoutInCell="1" allowOverlap="1" relativeHeight="4">
            <wp:simplePos x="0" y="0"/>
            <wp:positionH relativeFrom="column">
              <wp:posOffset>1266190</wp:posOffset>
            </wp:positionH>
            <wp:positionV relativeFrom="page">
              <wp:posOffset>777875</wp:posOffset>
            </wp:positionV>
            <wp:extent cx="3028315" cy="509905"/>
            <wp:effectExtent l="0" t="0" r="0" b="0"/>
            <wp:wrapNone/>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2"/>
                    <a:stretch>
                      <a:fillRect/>
                    </a:stretch>
                  </pic:blipFill>
                  <pic:spPr bwMode="auto">
                    <a:xfrm>
                      <a:off x="0" y="0"/>
                      <a:ext cx="3028315" cy="509905"/>
                    </a:xfrm>
                    <a:prstGeom prst="rect">
                      <a:avLst/>
                    </a:prstGeom>
                  </pic:spPr>
                </pic:pic>
              </a:graphicData>
            </a:graphic>
          </wp:anchor>
        </w:drawing>
      </w:r>
    </w:p>
    <w:p>
      <w:pPr>
        <w:pStyle w:val="Title"/>
        <w:spacing w:lineRule="auto" w:line="240" w:before="0" w:after="0"/>
        <w:ind w:hanging="0"/>
        <w:jc w:val="both"/>
        <w:rPr>
          <w:sz w:val="26"/>
          <w:szCs w:val="26"/>
        </w:rPr>
      </w:pPr>
      <w:r>
        <w:rPr>
          <w:sz w:val="26"/>
          <w:szCs w:val="26"/>
        </w:rPr>
      </w:r>
    </w:p>
    <w:p>
      <w:pPr>
        <w:pStyle w:val="Title"/>
        <w:spacing w:lineRule="auto" w:line="240" w:before="0" w:after="0"/>
        <w:ind w:hanging="0"/>
        <w:jc w:val="both"/>
        <w:rPr>
          <w:sz w:val="26"/>
          <w:szCs w:val="26"/>
        </w:rPr>
      </w:pPr>
      <w:r>
        <w:rPr>
          <w:sz w:val="26"/>
          <w:szCs w:val="26"/>
        </w:rPr>
      </w:r>
    </w:p>
    <w:p>
      <w:pPr>
        <w:pStyle w:val="Title"/>
        <w:spacing w:lineRule="auto" w:line="288" w:before="0" w:after="0"/>
        <w:ind w:left="-567" w:hanging="0"/>
        <w:rPr/>
      </w:pPr>
      <w:r>
        <w:rPr>
          <w:sz w:val="24"/>
          <w:szCs w:val="24"/>
        </w:rPr>
        <w:t>ПРОТОКОЛ № 5251–ОТПП/2/9</w:t>
      </w:r>
    </w:p>
    <w:p>
      <w:pPr>
        <w:pStyle w:val="Title"/>
        <w:spacing w:lineRule="auto" w:line="288" w:before="0" w:after="0"/>
        <w:ind w:left="-567" w:hanging="0"/>
        <w:rPr>
          <w:sz w:val="24"/>
          <w:szCs w:val="24"/>
        </w:rPr>
      </w:pPr>
      <w:r>
        <w:rPr>
          <w:sz w:val="24"/>
          <w:szCs w:val="24"/>
        </w:rPr>
        <w:t xml:space="preserve">О РЕЗУЛЬТАТАХ ПРОВЕДЕНИЯ ТОРГОВ </w:t>
      </w:r>
    </w:p>
    <w:p>
      <w:pPr>
        <w:pStyle w:val="Title"/>
        <w:spacing w:lineRule="auto" w:line="288" w:before="0" w:after="0"/>
        <w:ind w:left="-567" w:hanging="0"/>
        <w:rPr>
          <w:sz w:val="24"/>
          <w:szCs w:val="24"/>
        </w:rPr>
      </w:pPr>
      <w:r>
        <w:rPr>
          <w:sz w:val="24"/>
          <w:szCs w:val="24"/>
        </w:rPr>
        <w:t xml:space="preserve">В ЭЛЕКТРОННОЙ ФОРМЕ ПО ЛОТУ № 9 </w:t>
      </w:r>
    </w:p>
    <w:p>
      <w:pPr>
        <w:pStyle w:val="Title"/>
        <w:spacing w:lineRule="auto" w:line="288" w:before="0" w:after="0"/>
        <w:ind w:hanging="0"/>
        <w:rPr>
          <w:sz w:val="26"/>
          <w:szCs w:val="26"/>
        </w:rPr>
      </w:pPr>
      <w:r>
        <w:rPr>
          <w:sz w:val="26"/>
          <w:szCs w:val="26"/>
        </w:rPr>
      </w:r>
    </w:p>
    <w:p>
      <w:pPr>
        <w:pStyle w:val="Normal"/>
        <w:jc w:val="right"/>
        <w:rPr>
          <w:sz w:val="26"/>
          <w:szCs w:val="26"/>
        </w:rPr>
      </w:pPr>
      <w:r>
        <w:rPr>
          <w:sz w:val="26"/>
          <w:szCs w:val="26"/>
          <w:lang w:val="en-US"/>
        </w:rPr>
        <w:t> </w:t>
      </w:r>
      <w:r>
        <w:rPr>
          <w:sz w:val="20"/>
          <w:szCs w:val="20"/>
        </w:rPr>
        <w:t>Дата подписания решения: «7» марта 2022 года</w:t>
      </w:r>
    </w:p>
    <w:p>
      <w:pPr>
        <w:pStyle w:val="ListParagraph"/>
        <w:spacing w:lineRule="auto" w:line="264" w:beforeAutospacing="0" w:before="280" w:afterAutospacing="0" w:after="120"/>
        <w:ind w:left="0" w:hanging="0"/>
        <w:jc w:val="both"/>
        <w:rPr/>
      </w:pPr>
      <w:r>
        <w:rPr/>
      </w:r>
    </w:p>
    <w:p>
      <w:pPr>
        <w:pStyle w:val="Normal"/>
        <w:spacing w:lineRule="auto" w:line="264" w:before="120" w:after="120"/>
        <w:ind w:firstLine="215"/>
        <w:rPr>
          <w:b/>
          <w:b/>
          <w:bCs/>
        </w:rPr>
      </w:pPr>
      <w:r>
        <w:rPr>
          <w:b/>
          <w:bCs/>
        </w:rPr>
        <w:t>1. Форма проведения торгов и подачи ценовых предложений</w:t>
      </w:r>
    </w:p>
    <w:p>
      <w:pPr>
        <w:pStyle w:val="Normal"/>
        <w:spacing w:lineRule="auto" w:line="264" w:before="60" w:after="60"/>
        <w:ind w:firstLine="567"/>
        <w:rPr/>
      </w:pPr>
      <w:r>
        <w:rPr/>
        <w:t>Открытые торги посредством публичного предложения.</w:t>
      </w:r>
    </w:p>
    <w:p>
      <w:pPr>
        <w:pStyle w:val="Normal"/>
        <w:spacing w:lineRule="auto" w:line="264" w:before="120" w:after="120"/>
        <w:ind w:firstLine="215"/>
        <w:rPr>
          <w:b/>
          <w:b/>
          <w:bCs/>
        </w:rPr>
      </w:pPr>
      <w:r>
        <w:rPr>
          <w:b/>
          <w:bCs/>
        </w:rPr>
        <w:t>2. Идентификационный номер торгов</w:t>
      </w:r>
    </w:p>
    <w:p>
      <w:pPr>
        <w:pStyle w:val="Normal"/>
        <w:spacing w:lineRule="auto" w:line="264" w:before="0" w:after="120"/>
        <w:ind w:left="284" w:firstLine="283"/>
        <w:jc w:val="left"/>
        <w:rPr/>
      </w:pPr>
      <w:r>
        <w:rPr>
          <w:rFonts w:eastAsia="Times New Roman"/>
          <w:b/>
          <w:u w:val="single"/>
        </w:rPr>
        <w:t>Торги</w:t>
      </w:r>
      <w:r>
        <w:rPr>
          <w:rFonts w:eastAsia="Times New Roman"/>
          <w:u w:val="single"/>
        </w:rPr>
        <w:t xml:space="preserve"> </w:t>
      </w:r>
      <w:r>
        <w:rPr>
          <w:rFonts w:eastAsia="Times New Roman"/>
          <w:b/>
          <w:u w:val="single"/>
        </w:rPr>
        <w:t>№ 5251-ОТПП</w:t>
      </w:r>
      <w:r>
        <w:rPr>
          <w:rFonts w:eastAsia="Times New Roman"/>
        </w:rPr>
        <w:t>:</w:t>
      </w:r>
      <w:r>
        <w:rPr>
          <w:rFonts w:eastAsia="Times New Roman"/>
          <w:b/>
        </w:rPr>
        <w:t xml:space="preserve"> </w:t>
      </w:r>
      <w:r>
        <w:rPr>
          <w:rFonts w:eastAsia="Times New Roman"/>
        </w:rPr>
        <w:t>Открытые торги посредством публичного предложения, должник ООО "ГСД-Р".</w:t>
      </w:r>
    </w:p>
    <w:p>
      <w:pPr>
        <w:pStyle w:val="Normal"/>
        <w:spacing w:lineRule="auto" w:line="264" w:before="120" w:after="120"/>
        <w:ind w:firstLine="215"/>
        <w:rPr>
          <w:b/>
          <w:b/>
          <w:bCs/>
        </w:rPr>
      </w:pPr>
      <w:r>
        <w:rPr>
          <w:b/>
          <w:bCs/>
        </w:rPr>
        <w:t>3. Номер и наименование лота</w:t>
      </w:r>
    </w:p>
    <w:p>
      <w:pPr>
        <w:pStyle w:val="Normal"/>
        <w:spacing w:lineRule="auto" w:line="264" w:before="120" w:after="120"/>
        <w:ind w:left="284" w:firstLine="283"/>
        <w:jc w:val="left"/>
        <w:rPr>
          <w:rFonts w:eastAsia="Times New Roman"/>
        </w:rPr>
      </w:pPr>
      <w:r>
        <w:rPr>
          <w:rFonts w:eastAsia="Times New Roman"/>
          <w:b/>
          <w:u w:val="single"/>
        </w:rPr>
        <w:t>Лот № 9</w:t>
      </w:r>
      <w:r>
        <w:rPr>
          <w:rFonts w:eastAsia="Times New Roman"/>
        </w:rPr>
        <w:t>: Лот № 9. Право требования к Межрайонной инспекции Федеральной налоговой службы № 16 по Свердловской области (ИНН 6623000850, ОГРН 1046601240773) - 3000,00 руб. (возмещение расходов по уплате государственной̆ пошлины). Вносится изменение в Лот № 9. В связи с погашением задолженности по возмещению НДС в размере - 2 498 160 руб. 20.01.2022 года (оплачена в полном объеме Межрайонной инспекции Федеральной налоговой службы № 16).</w:t>
      </w:r>
    </w:p>
    <w:p>
      <w:pPr>
        <w:pStyle w:val="Normal"/>
        <w:spacing w:lineRule="auto" w:line="264" w:before="120" w:after="120"/>
        <w:ind w:firstLine="215"/>
        <w:rPr>
          <w:b/>
          <w:b/>
          <w:bCs/>
        </w:rPr>
      </w:pPr>
      <w:r>
        <w:rPr>
          <w:b/>
          <w:bCs/>
        </w:rPr>
        <w:t>4. Начальная цена лота</w:t>
      </w:r>
    </w:p>
    <w:p>
      <w:pPr>
        <w:pStyle w:val="Normal"/>
        <w:spacing w:lineRule="auto" w:line="264" w:before="0" w:after="120"/>
        <w:ind w:left="567" w:hanging="0"/>
        <w:rPr/>
      </w:pPr>
      <w:r>
        <w:rPr/>
        <w:t xml:space="preserve">Начальная цена лота: </w:t>
      </w:r>
      <w:bookmarkStart w:id="0" w:name="_Hlk37862099"/>
      <w:r>
        <w:rPr/>
        <w:t>3 000.00 руб.</w:t>
      </w:r>
      <w:bookmarkStart w:id="1" w:name="__DdeLink__401_1669373830"/>
      <w:bookmarkEnd w:id="1"/>
      <w:r>
        <w:rPr/>
        <w:t xml:space="preserve"> </w:t>
      </w:r>
      <w:bookmarkStart w:id="2" w:name="_Hlk37937183"/>
      <w:bookmarkEnd w:id="0"/>
    </w:p>
    <w:p>
      <w:pPr>
        <w:pStyle w:val="ListParagraph"/>
        <w:spacing w:lineRule="auto" w:line="264" w:beforeAutospacing="0" w:before="120" w:afterAutospacing="0" w:after="120"/>
        <w:ind w:left="0" w:firstLine="215"/>
        <w:jc w:val="both"/>
        <w:rPr/>
      </w:pPr>
      <w:bookmarkEnd w:id="2"/>
      <w:r>
        <w:rPr/>
        <w:t>5. Номер дела о банкротстве</w:t>
      </w:r>
    </w:p>
    <w:p>
      <w:pPr>
        <w:pStyle w:val="Normal"/>
        <w:spacing w:lineRule="auto" w:line="264" w:before="0" w:after="120"/>
        <w:ind w:firstLine="567"/>
        <w:rPr/>
      </w:pPr>
      <w:r>
        <w:rPr/>
        <w:t>А60-6779/2020.</w:t>
      </w:r>
    </w:p>
    <w:p>
      <w:pPr>
        <w:pStyle w:val="ListParagraph"/>
        <w:spacing w:lineRule="auto" w:line="264" w:beforeAutospacing="0" w:before="120" w:afterAutospacing="0" w:after="120"/>
        <w:ind w:left="0" w:firstLine="215"/>
        <w:jc w:val="both"/>
        <w:rPr/>
      </w:pPr>
      <w:r>
        <w:rPr/>
        <w:t>6. Наименование арбитражного суда</w:t>
      </w:r>
    </w:p>
    <w:p>
      <w:pPr>
        <w:pStyle w:val="Normal"/>
        <w:spacing w:lineRule="auto" w:line="264" w:before="0" w:after="120"/>
        <w:ind w:firstLine="567"/>
        <w:rPr/>
      </w:pPr>
      <w:r>
        <w:rPr/>
        <w:t>Арбитражный суд Свердловской области.</w:t>
      </w:r>
      <w:bookmarkStart w:id="3" w:name="_Hlk38152713"/>
      <w:bookmarkEnd w:id="3"/>
    </w:p>
    <w:p>
      <w:pPr>
        <w:pStyle w:val="Normal"/>
        <w:spacing w:lineRule="auto" w:line="264" w:before="120" w:after="120"/>
        <w:ind w:firstLine="215"/>
        <w:rPr>
          <w:b/>
          <w:b/>
          <w:bCs/>
        </w:rPr>
      </w:pPr>
      <w:r>
        <w:rPr>
          <w:b/>
          <w:bCs/>
        </w:rPr>
        <w:t xml:space="preserve">7. </w:t>
      </w:r>
      <w:bookmarkStart w:id="4" w:name="_Hlk37884772"/>
      <w:r>
        <w:rPr>
          <w:b/>
          <w:bCs/>
        </w:rPr>
        <w:t>Наименование должника</w:t>
      </w:r>
      <w:bookmarkEnd w:id="4"/>
    </w:p>
    <w:p>
      <w:pPr>
        <w:pStyle w:val="Normal"/>
        <w:spacing w:lineRule="auto" w:line="264" w:before="0" w:after="120"/>
        <w:ind w:firstLine="567"/>
        <w:rPr/>
      </w:pPr>
      <w:r>
        <w:rPr/>
        <w:t>ООО "ГСД-Р".</w:t>
      </w:r>
    </w:p>
    <w:p>
      <w:pPr>
        <w:pStyle w:val="Normal"/>
        <w:spacing w:lineRule="auto" w:line="264" w:before="120" w:after="120"/>
        <w:ind w:firstLine="215"/>
        <w:rPr>
          <w:b/>
          <w:b/>
          <w:bCs/>
        </w:rPr>
      </w:pPr>
      <w:r>
        <w:rPr>
          <w:b/>
          <w:bCs/>
        </w:rPr>
        <w:t>8. Арбитражный управляющий должника</w:t>
      </w:r>
    </w:p>
    <w:p>
      <w:pPr>
        <w:pStyle w:val="Normal"/>
        <w:spacing w:lineRule="auto" w:line="264" w:before="0" w:after="120"/>
        <w:ind w:firstLine="567"/>
        <w:rPr>
          <w:lang w:val="en-US"/>
        </w:rPr>
      </w:pPr>
      <w:r>
        <w:rPr>
          <w:lang w:val="en-US"/>
        </w:rPr>
        <w:t>Корнюшкин Геннадий Александрович.</w:t>
      </w:r>
    </w:p>
    <w:p>
      <w:pPr>
        <w:pStyle w:val="ListParagraph"/>
        <w:spacing w:lineRule="auto" w:line="264" w:beforeAutospacing="0" w:before="120" w:afterAutospacing="0" w:after="120"/>
        <w:ind w:left="0" w:firstLine="215"/>
        <w:jc w:val="both"/>
        <w:rPr>
          <w:lang w:val="en-US"/>
        </w:rPr>
      </w:pPr>
      <w:r>
        <w:rPr>
          <w:lang w:val="en-US"/>
        </w:rPr>
        <w:t xml:space="preserve">9. </w:t>
      </w:r>
      <w:r>
        <w:rPr/>
        <w:t>Организатор</w:t>
      </w:r>
      <w:r>
        <w:rPr>
          <w:lang w:val="en-US"/>
        </w:rPr>
        <w:t xml:space="preserve"> </w:t>
      </w:r>
      <w:r>
        <w:rPr/>
        <w:t>торгов</w:t>
      </w:r>
      <w:r>
        <w:rPr>
          <w:lang w:val="en-US"/>
        </w:rPr>
        <w:t xml:space="preserve"> </w:t>
      </w:r>
    </w:p>
    <w:p>
      <w:pPr>
        <w:pStyle w:val="Normal"/>
        <w:spacing w:lineRule="auto" w:line="264" w:before="0" w:after="120"/>
        <w:ind w:firstLine="567"/>
        <w:rPr>
          <w:lang w:val="en-US"/>
        </w:rPr>
      </w:pPr>
      <w:r>
        <w:rPr>
          <w:lang w:val="en-US"/>
        </w:rPr>
        <w:t>Корнюшкин Геннадий Александрович.</w:t>
      </w:r>
      <w:bookmarkStart w:id="5" w:name="_Hlk37882833"/>
      <w:bookmarkEnd w:id="5"/>
    </w:p>
    <w:p>
      <w:pPr>
        <w:pStyle w:val="Normal"/>
        <w:spacing w:lineRule="auto" w:line="264" w:before="120" w:after="120"/>
        <w:ind w:firstLine="215"/>
        <w:rPr>
          <w:b/>
          <w:b/>
          <w:bCs/>
        </w:rPr>
      </w:pPr>
      <w:r>
        <w:rPr>
          <w:b/>
          <w:bCs/>
        </w:rPr>
        <w:t>10. Оператор электронной площадки и место проведения торгов</w:t>
      </w:r>
    </w:p>
    <w:p>
      <w:pPr>
        <w:pStyle w:val="Normal"/>
        <w:spacing w:lineRule="auto" w:line="264" w:before="0" w:after="120"/>
        <w:ind w:left="567" w:hanging="0"/>
        <w:rPr/>
      </w:pPr>
      <w:r>
        <w:rPr/>
        <w:t>Оператор электронной площадки: ООО «ВЭТП» (адрес: 390037, РФ, Рязанская область, г. Рязань, ул. Зубковой, д.18в, ИНН: 6230079253, ОГРН: 1126230004449).</w:t>
      </w:r>
    </w:p>
    <w:p>
      <w:pPr>
        <w:pStyle w:val="Normal"/>
        <w:spacing w:lineRule="auto" w:line="264" w:before="0" w:after="120"/>
        <w:ind w:left="567" w:hanging="0"/>
        <w:rPr>
          <w:color w:val="800000"/>
          <w:u w:val="single"/>
        </w:rPr>
      </w:pPr>
      <w:r>
        <w:rPr/>
        <w:t xml:space="preserve">Место проведения торгов: «Всероссийская Электронная Торговая Площадка», адрес в сети интернет: </w:t>
      </w:r>
      <w:r>
        <w:rPr>
          <w:color w:val="800000"/>
          <w:u w:val="single"/>
        </w:rPr>
        <w:t/>
      </w:r>
    </w:p>
    <w:p>
      <w:pPr>
        <w:pStyle w:val="ListParagraph"/>
        <w:spacing w:lineRule="auto" w:line="264" w:beforeAutospacing="0" w:before="120" w:afterAutospacing="0" w:after="120"/>
        <w:ind w:left="0" w:firstLine="215"/>
        <w:jc w:val="both"/>
        <w:rPr/>
      </w:pPr>
      <w:r>
        <w:rPr/>
        <w:t>11. Период проведения торгов в котором определен победитель</w:t>
      </w:r>
    </w:p>
    <w:p>
      <w:pPr>
        <w:pStyle w:val="Normal"/>
        <w:spacing w:lineRule="auto" w:line="264" w:before="0" w:after="120"/>
        <w:ind w:left="142" w:firstLine="425"/>
        <w:rPr/>
      </w:pPr>
      <w:r>
        <w:rPr/>
        <w:t>05.03.2022 12:00:00 ⇆ 06.03.2022 17:00:00</w:t>
      </w:r>
      <w:bookmarkStart w:id="6" w:name="_Hlk38154481"/>
      <w:bookmarkEnd w:id="6"/>
    </w:p>
    <w:p>
      <w:pPr>
        <w:pStyle w:val="ListParagraph"/>
        <w:spacing w:lineRule="auto" w:line="264" w:beforeAutospacing="0" w:before="120" w:afterAutospacing="0" w:after="120"/>
        <w:ind w:left="0" w:firstLine="215"/>
        <w:jc w:val="both"/>
        <w:rPr/>
      </w:pPr>
      <w:r>
        <w:rPr/>
        <w:t>12. Перечень участников</w:t>
      </w:r>
    </w:p>
    <w:p>
      <w:pPr>
        <w:pStyle w:val="Normal"/>
        <w:spacing w:lineRule="auto" w:line="288"/>
        <w:ind w:left="567" w:hanging="0"/>
        <w:rPr/>
      </w:pPr>
      <w:r>
        <w:rPr/>
        <w:t xml:space="preserve">В соответствии с протоколом определения участников № </w:t>
      </w:r>
      <w:r>
        <w:rPr>
          <w:u w:val="single"/>
        </w:rPr>
        <w:t>5251–ОТПП/2/9</w:t>
      </w:r>
      <w:r>
        <w:rPr/>
        <w:t xml:space="preserve"> от </w:t>
      </w:r>
      <w:r>
        <w:rPr>
          <w:u w:val="single"/>
        </w:rPr>
        <w:t>«7» марта 2022 года</w:t>
      </w:r>
      <w:r>
        <w:rPr/>
        <w:t xml:space="preserve"> участниками торгов являются следующие лица (далее – Участники торгов):</w:t>
      </w:r>
    </w:p>
    <w:tbl>
      <w:tblPr>
        <w:tblW w:w="8636" w:type="dxa"/>
        <w:jc w:val="left"/>
        <w:tblInd w:w="622" w:type="dxa"/>
        <w:tblCellMar>
          <w:top w:w="55" w:type="dxa"/>
          <w:left w:w="55" w:type="dxa"/>
          <w:bottom w:w="55" w:type="dxa"/>
          <w:right w:w="55" w:type="dxa"/>
        </w:tblCellMar>
        <w:tblLook w:val="04a0" w:noHBand="0" w:noVBand="1" w:firstColumn="1" w:lastRow="0" w:lastColumn="0" w:firstRow="1"/>
      </w:tblPr>
      <w:tblGrid>
        <w:gridCol w:w="8636"/>
      </w:tblGrid>
      <w:tr>
        <w:trPr/>
        <w:tc>
          <w:tcPr>
            <w:tcW w:w="8636" w:type="dxa"/>
            <w:tcBorders/>
            <w:shd w:color="auto" w:fill="auto" w:val="clear"/>
          </w:tcPr>
          <w:p>
            <w:pPr>
              <w:pStyle w:val="Normal"/>
              <w:rPr>
                <w:lang w:val="en-US"/>
              </w:rPr>
            </w:pPr>
            <w:r>
              <w:rPr>
                <w:b/>
                <w:lang w:val="en-US"/>
              </w:rPr>
              <w:t xml:space="preserve">1. </w:t>
            </w:r>
            <w:r>
              <w:rPr>
                <w:b/>
                <w:bCs/>
                <w:lang w:val="en-US"/>
              </w:rPr>
              <w:t>Бойко Геннадий Алексеевич</w:t>
            </w:r>
          </w:p>
          <w:p>
            <w:pPr>
              <w:pStyle w:val="Normal"/>
              <w:rPr>
                <w:lang w:val="en-US"/>
              </w:rPr>
            </w:pPr>
            <w:r>
              <w:rPr>
                <w:lang w:val="en-US"/>
              </w:rPr>
              <w:t>(ИНН:772603910409)</w:t>
            </w:r>
          </w:p>
          <w:p>
            <w:pPr>
              <w:pStyle w:val="Style22"/>
              <w:jc w:val="both"/>
              <w:rPr>
                <w:sz w:val="20"/>
                <w:szCs w:val="20"/>
                <w:lang w:val="en-US"/>
              </w:rPr>
            </w:pPr>
            <w:r>
              <w:rPr/>
              <w:t>Заявка</w:t>
            </w:r>
            <w:r>
              <w:rPr>
                <w:lang w:val="en-US"/>
              </w:rPr>
              <w:t xml:space="preserve"> </w:t>
            </w:r>
            <w:r>
              <w:rPr/>
              <w:t>принята</w:t>
            </w:r>
            <w:r>
              <w:rPr>
                <w:lang w:val="en-US"/>
              </w:rPr>
              <w:t xml:space="preserve">: </w:t>
            </w:r>
            <w:r>
              <w:rPr/>
              <w:t>дата</w:t>
            </w:r>
            <w:r>
              <w:rPr>
                <w:lang w:val="en-US"/>
              </w:rPr>
              <w:t xml:space="preserve"> </w:t>
            </w:r>
            <w:r>
              <w:rPr>
                <w:u w:val="single"/>
                <w:lang w:val="en-US"/>
              </w:rPr>
              <w:t xml:space="preserve">«6» марта 2022 года,  </w:t>
            </w:r>
            <w:r>
              <w:rPr>
                <w:u w:val="single"/>
              </w:rPr>
              <w:t>время</w:t>
            </w:r>
            <w:r>
              <w:rPr>
                <w:u w:val="single"/>
                <w:lang w:val="en-US"/>
              </w:rPr>
              <w:t>: 16:31:37;</w:t>
            </w:r>
          </w:p>
        </w:tc>
      </w:tr>
    </w:tbl>
    <w:p>
      <w:pPr>
        <w:pStyle w:val="ListParagraph"/>
        <w:spacing w:lineRule="auto" w:line="264" w:beforeAutospacing="0" w:before="120" w:afterAutospacing="0" w:after="120"/>
        <w:ind w:left="0" w:firstLine="215"/>
        <w:jc w:val="both"/>
        <w:rPr/>
      </w:pPr>
      <w:r>
        <w:rPr/>
        <w:t>13. Предложения о цене приобретения лота</w:t>
      </w:r>
    </w:p>
    <w:p>
      <w:pPr>
        <w:pStyle w:val="Normal"/>
        <w:spacing w:lineRule="auto" w:line="264" w:before="0" w:after="120"/>
        <w:ind w:left="567" w:hanging="0"/>
        <w:rPr/>
      </w:pPr>
      <w:r>
        <w:rPr/>
        <w:t xml:space="preserve">В ходе проведения периода торгов, участниками торгов были поданы следующие ценовые предложения: </w:t>
      </w:r>
    </w:p>
    <w:tbl>
      <w:tblPr>
        <w:tblW w:w="5000" w:type="pct"/>
        <w:jc w:val="center"/>
        <w:tblInd w:w="0" w:type="dxa"/>
        <w:tblCellMar>
          <w:top w:w="0" w:type="dxa"/>
          <w:left w:w="10" w:type="dxa"/>
          <w:bottom w:w="0" w:type="dxa"/>
          <w:right w:w="107" w:type="dxa"/>
        </w:tblCellMar>
        <w:tblLook w:val="04a0" w:noHBand="0" w:noVBand="1" w:firstColumn="1" w:lastRow="0" w:lastColumn="0" w:firstRow="1"/>
      </w:tblPr>
      <w:tblGrid>
        <w:gridCol w:w="2924"/>
        <w:gridCol w:w="1957"/>
        <w:gridCol w:w="2235"/>
        <w:gridCol w:w="1954"/>
      </w:tblGrid>
      <w:tr>
        <w:trPr/>
        <w:tc>
          <w:tcPr>
            <w:tcW w:w="292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20"/>
                <w:szCs w:val="20"/>
              </w:rPr>
            </w:pPr>
            <w:r>
              <w:rPr>
                <w:b/>
                <w:sz w:val="20"/>
                <w:szCs w:val="20"/>
              </w:rPr>
              <w:t>Участник</w:t>
            </w:r>
          </w:p>
        </w:tc>
        <w:tc>
          <w:tcPr>
            <w:tcW w:w="1957"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20"/>
                <w:szCs w:val="20"/>
              </w:rPr>
            </w:pPr>
            <w:r>
              <w:rPr>
                <w:b/>
                <w:sz w:val="20"/>
                <w:szCs w:val="20"/>
              </w:rPr>
              <w:t>Предложение о цене</w:t>
            </w:r>
          </w:p>
        </w:tc>
        <w:tc>
          <w:tcPr>
            <w:tcW w:w="2235" w:type="dxa"/>
            <w:tcBorders>
              <w:top w:val="single" w:sz="8" w:space="0" w:color="00000A"/>
              <w:left w:val="single" w:sz="8" w:space="0" w:color="00000A"/>
              <w:bottom w:val="single" w:sz="8" w:space="0" w:color="00000A"/>
              <w:right w:val="single" w:sz="8" w:space="0" w:color="00000A"/>
            </w:tcBorders>
            <w:vAlign w:val="center"/>
          </w:tcPr>
          <w:p>
            <w:pPr>
              <w:pStyle w:val="Tabletext"/>
              <w:spacing w:lineRule="auto" w:line="264"/>
              <w:jc w:val="center"/>
              <w:rPr>
                <w:b/>
                <w:b/>
                <w:sz w:val="20"/>
                <w:szCs w:val="20"/>
              </w:rPr>
            </w:pPr>
            <w:r>
              <w:rPr>
                <w:b/>
                <w:sz w:val="20"/>
                <w:szCs w:val="20"/>
              </w:rPr>
              <w:t>Период проведения торгов</w:t>
            </w:r>
          </w:p>
        </w:tc>
        <w:tc>
          <w:tcPr>
            <w:tcW w:w="195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20"/>
                <w:szCs w:val="20"/>
              </w:rPr>
            </w:pPr>
            <w:r>
              <w:rPr>
                <w:b/>
                <w:sz w:val="20"/>
                <w:szCs w:val="20"/>
              </w:rPr>
              <w:t>Дата подачи</w:t>
            </w:r>
          </w:p>
        </w:tc>
      </w:tr>
      <w:tr>
        <w:trPr/>
        <w:tc>
          <w:tcPr>
            <w:tcW w:w="292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b/>
                <w:sz w:val="20"/>
                <w:szCs w:val="20"/>
                <w:lang w:val="en-US"/>
              </w:rPr>
              <w:t> Бойко Геннадий Алексеевич</w:t>
            </w:r>
            <w:r>
              <w:rPr>
                <w:sz w:val="20"/>
                <w:szCs w:val="20"/>
              </w:rPr>
              <w:t xml:space="preserve"> </w:t>
            </w:r>
          </w:p>
        </w:tc>
        <w:tc>
          <w:tcPr>
            <w:tcW w:w="1957"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2 433.50</w:t>
            </w:r>
          </w:p>
        </w:tc>
        <w:tc>
          <w:tcPr>
            <w:tcW w:w="2235" w:type="dxa"/>
            <w:tcBorders>
              <w:top w:val="single" w:sz="8" w:space="0" w:color="00000A"/>
              <w:left w:val="single" w:sz="8" w:space="0" w:color="00000A"/>
              <w:bottom w:val="single" w:sz="8" w:space="0" w:color="00000A"/>
              <w:right w:val="single" w:sz="8" w:space="0" w:color="00000A"/>
            </w:tcBorders>
            <w:vAlign w:val="center"/>
          </w:tcPr>
          <w:p>
            <w:pPr>
              <w:pStyle w:val="Tabletext"/>
              <w:spacing w:lineRule="auto" w:line="264"/>
              <w:jc w:val="center"/>
              <w:rPr>
                <w:sz w:val="20"/>
                <w:szCs w:val="20"/>
              </w:rPr>
            </w:pPr>
            <w:r>
              <w:rPr>
                <w:sz w:val="20"/>
                <w:szCs w:val="20"/>
              </w:rPr>
              <w:t>05.03.2022 12:00:00 ⇆ 06.03.2022 17:00:00</w:t>
            </w:r>
          </w:p>
        </w:tc>
        <w:tc>
          <w:tcPr>
            <w:tcW w:w="195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06.03.2022 16:31:37.872442</w:t>
            </w:r>
            <w:bookmarkStart w:id="7" w:name="_Hlk37851796"/>
            <w:bookmarkEnd w:id="7"/>
          </w:p>
        </w:tc>
      </w:tr>
    </w:tbl>
    <w:p>
      <w:pPr>
        <w:pStyle w:val="ListParagraph"/>
        <w:spacing w:lineRule="auto" w:line="264" w:beforeAutospacing="0" w:before="120" w:afterAutospacing="0" w:after="120"/>
        <w:ind w:left="0" w:firstLine="215"/>
        <w:jc w:val="both"/>
        <w:rPr/>
      </w:pPr>
      <w:r>
        <w:rPr/>
        <w:t>14. Результаты проведения торгов в электронной форме</w:t>
      </w:r>
    </w:p>
    <w:tbl>
      <w:tblPr>
        <w:tblW w:w="5000" w:type="pct"/>
        <w:jc w:val="center"/>
        <w:tblInd w:w="0" w:type="dxa"/>
        <w:tblCellMar>
          <w:top w:w="0" w:type="dxa"/>
          <w:left w:w="10" w:type="dxa"/>
          <w:bottom w:w="0" w:type="dxa"/>
          <w:right w:w="107" w:type="dxa"/>
        </w:tblCellMar>
        <w:tblLook w:val="04a0" w:noHBand="0" w:noVBand="1" w:firstColumn="1" w:lastRow="0" w:lastColumn="0" w:firstRow="1"/>
      </w:tblPr>
      <w:tblGrid>
        <w:gridCol w:w="2303"/>
        <w:gridCol w:w="2436"/>
        <w:gridCol w:w="2264"/>
        <w:gridCol w:w="2067"/>
      </w:tblGrid>
      <w:tr>
        <w:trPr/>
        <w:tc>
          <w:tcPr>
            <w:tcW w:w="2303"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r>
          </w:p>
        </w:tc>
        <w:tc>
          <w:tcPr>
            <w:tcW w:w="2436"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b/>
                <w:b/>
                <w:sz w:val="20"/>
                <w:szCs w:val="20"/>
              </w:rPr>
            </w:pPr>
            <w:r>
              <w:rPr>
                <w:b/>
                <w:sz w:val="20"/>
                <w:szCs w:val="20"/>
              </w:rPr>
              <w:t>Наименование участника</w:t>
            </w:r>
          </w:p>
        </w:tc>
        <w:tc>
          <w:tcPr>
            <w:tcW w:w="2264"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b/>
                <w:b/>
                <w:sz w:val="20"/>
                <w:szCs w:val="20"/>
              </w:rPr>
            </w:pPr>
            <w:r>
              <w:rPr>
                <w:b/>
                <w:sz w:val="20"/>
                <w:szCs w:val="20"/>
              </w:rPr>
              <w:t>Место нахождения/Место жительства</w:t>
            </w:r>
          </w:p>
        </w:tc>
        <w:tc>
          <w:tcPr>
            <w:tcW w:w="2067"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b/>
                <w:b/>
                <w:sz w:val="20"/>
                <w:szCs w:val="20"/>
              </w:rPr>
            </w:pPr>
            <w:r>
              <w:rPr>
                <w:b/>
                <w:sz w:val="20"/>
                <w:szCs w:val="20"/>
              </w:rPr>
              <w:t>Цена, предложенная участником</w:t>
            </w:r>
          </w:p>
        </w:tc>
      </w:tr>
      <w:tr>
        <w:trPr/>
        <w:tc>
          <w:tcPr>
            <w:tcW w:w="2303"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20"/>
                <w:szCs w:val="20"/>
              </w:rPr>
            </w:pPr>
            <w:r>
              <w:rPr>
                <w:b/>
                <w:sz w:val="20"/>
                <w:szCs w:val="20"/>
              </w:rPr>
              <w:t>Победитель</w:t>
            </w:r>
          </w:p>
        </w:tc>
        <w:tc>
          <w:tcPr>
            <w:tcW w:w="2436"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sz w:val="20"/>
                <w:szCs w:val="20"/>
              </w:rPr>
            </w:pPr>
            <w:r>
              <w:rPr>
                <w:b/>
                <w:sz w:val="20"/>
                <w:szCs w:val="20"/>
                <w:lang w:val="en-US"/>
              </w:rPr>
              <w:t>Бойко Геннадий Алексеевич</w:t>
            </w:r>
            <w:r>
              <w:rPr>
                <w:sz w:val="20"/>
                <w:szCs w:val="20"/>
              </w:rPr>
              <w:t xml:space="preserve"> </w:t>
            </w:r>
          </w:p>
        </w:tc>
        <w:tc>
          <w:tcPr>
            <w:tcW w:w="2264"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sz w:val="20"/>
                <w:szCs w:val="20"/>
              </w:rPr>
            </w:pPr>
            <w:r>
              <w:rPr>
                <w:sz w:val="20"/>
                <w:szCs w:val="20"/>
                <w:lang w:val="en-US"/>
              </w:rPr>
              <w:t>117405, Москва, Варшавское шоссе, д.152, корп.15, кв.132</w:t>
            </w:r>
          </w:p>
        </w:tc>
        <w:tc>
          <w:tcPr>
            <w:tcW w:w="2067"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b/>
                <w:b/>
                <w:sz w:val="20"/>
                <w:szCs w:val="20"/>
              </w:rPr>
            </w:pPr>
            <w:r>
              <w:rPr>
                <w:b/>
                <w:sz w:val="20"/>
                <w:szCs w:val="20"/>
              </w:rPr>
              <w:t>2 433.50</w:t>
            </w:r>
          </w:p>
        </w:tc>
      </w:tr>
    </w:tbl>
    <w:p>
      <w:pPr>
        <w:pStyle w:val="ListParagraph"/>
        <w:spacing w:lineRule="auto" w:line="264" w:beforeAutospacing="0" w:before="120" w:afterAutospacing="0" w:after="120"/>
        <w:ind w:left="0" w:firstLine="215"/>
        <w:jc w:val="both"/>
        <w:rPr/>
      </w:pPr>
      <w:r>
        <w:rPr/>
        <w:t>15. Порядок и срок заключения договора купли-продажи</w:t>
      </w:r>
    </w:p>
    <w:p>
      <w:pPr>
        <w:pStyle w:val="Normal"/>
        <w:spacing w:lineRule="auto" w:line="264" w:before="0" w:after="120"/>
        <w:ind w:left="567" w:hanging="0"/>
        <w:rPr/>
      </w:pPr>
      <w:r>
        <w:rPr/>
        <w:t>В течение 5 дней с даты подписания протокола о результатах проведения торгов арбитражный управляющий направляет победителю торгов предложение заключить договор купли-продажи с приложением проекта данного договора в соответствии с представленным победителем торгов предложением о цене. Победитель торгов обязан в течение 30 дней со дня заключения договора купли-продажи оплатить стоимость приобретенного имущества (за вычетом внесенного задатка), путем перечисления денежных средств по реквизитам: получатель ООО «ГСД-Р», расчетный счет № 40702810038000223160, Московский банк ПАО Сбербанк № 9038/01793, к/с 0101810400000000225, БИК 044525225, ИНН 7707083893,Адрес банка: 109554, г. Москва, ул. Большая Андроньевская, д.6. В случае отказа или уклонения победителя торгов от подписания договора в течение пяти дней с даты получения указанного предложения или от оплаты стоимости лота в установленный срок, он лишается права на приобретение имущества, сумма внесенного им задатка не возвращается. В случае уклонения победителя торгов по продаже имущества должника посредством публичного предложения от подписания договора купли-продажи, оплаты имущества, принятия имущества в установленный настоящим договором срок, а также в случае признания торгов посредством публичного предложения несостоявшимися - по решению конкурсного управляющего данное имущество может быть предложено следующим участникам торгов на данном периоде торгов, или выставляется на повторные торги посредством публичного предложения по начальной цене, установленной на момент проведения предыдущих торгов посредством публичного предложения.
Дебиторская задолженность (права требования) должника, в том числе на дату утверждения порядка продажи и торгов находится в процессе взыскания.
В случае взыскания и погашения задолженности – поступившие должнику денежные средства возврату (передаче) победителю торгов не подлежат.</w:t>
      </w:r>
    </w:p>
    <w:p>
      <w:pPr>
        <w:pStyle w:val="ListParagraph"/>
        <w:spacing w:lineRule="auto" w:line="264" w:beforeAutospacing="0" w:before="120" w:afterAutospacing="0" w:after="120"/>
        <w:ind w:left="0" w:firstLine="215"/>
        <w:jc w:val="both"/>
        <w:rPr/>
      </w:pPr>
      <w:r>
        <w:rPr/>
        <w:t>16. Сроки платежей, реквизиты счетов, на которые вносятся платежи</w:t>
      </w:r>
    </w:p>
    <w:p>
      <w:pPr>
        <w:pStyle w:val="Normal"/>
        <w:spacing w:lineRule="auto" w:line="264" w:before="0" w:after="120"/>
        <w:ind w:left="567" w:hanging="0"/>
        <w:rPr/>
      </w:pPr>
      <w:r>
        <w:rPr/>
        <w:t>В течение 5 дней с даты подписания протокола о результатах проведения торгов арбитражный управляющий направляет победителю торгов предложение заключить договор купли-продажи с приложением проекта данного договора в соответствии с представленным победителем торгов предложением о цене. Победитель торгов обязан в течение 30 дней со дня заключения договора купли-продажи оплатить стоимость приобретенного имущества (за вычетом внесенного задатка), путем перечисления денежных средств по реквизитам: получатель ООО «ГСД-Р», расчетный счет № 40702810038000223160, Московский банк ПАО Сбербанк № 9038/01793, к/с 0101810400000000225, БИК 044525225, ИНН 7707083893,Адрес банка: 109554, г. Москва, ул. Большая Андроньевская, д.6.</w:t>
      </w:r>
    </w:p>
    <w:p>
      <w:pPr>
        <w:pStyle w:val="ListParagraph"/>
        <w:spacing w:lineRule="auto" w:line="264" w:beforeAutospacing="0" w:before="240" w:afterAutospacing="0" w:after="120"/>
        <w:ind w:left="426" w:hanging="0"/>
        <w:jc w:val="both"/>
        <w:rPr/>
      </w:pPr>
      <w:r>
        <w:rPr/>
        <w:t>Торги проведены в соответствии с Федеральным законом от 26 октября 2002 г. №127-ФЗ «О несостоятельности (банкротстве)».</w:t>
      </w:r>
    </w:p>
    <w:p>
      <w:pPr>
        <w:pStyle w:val="NormalWeb"/>
        <w:spacing w:before="280" w:after="280"/>
        <w:ind w:left="567" w:hanging="0"/>
        <w:jc w:val="both"/>
        <w:rPr>
          <w:lang w:val="en-US"/>
        </w:rPr>
      </w:pPr>
      <w:r>
        <w:rPr/>
        <w:t>Организатор</w:t>
      </w:r>
      <w:r>
        <w:rPr>
          <w:lang w:val="en-US"/>
        </w:rPr>
        <w:t xml:space="preserve"> </w:t>
      </w:r>
      <w:r>
        <w:rPr/>
        <w:t>торгов</w:t>
      </w:r>
      <w:r>
        <w:rPr>
          <w:lang w:val="en-US"/>
        </w:rPr>
        <w:t xml:space="preserve"> </w:t>
      </w:r>
    </w:p>
    <w:p>
      <w:pPr>
        <w:pStyle w:val="NormalWeb"/>
        <w:spacing w:before="280" w:after="280"/>
        <w:ind w:left="567" w:hanging="0"/>
        <w:jc w:val="both"/>
        <w:rPr>
          <w:b/>
          <w:b/>
          <w:lang w:val="en-US"/>
        </w:rPr>
      </w:pPr>
      <w:r>
        <w:rPr>
          <w:b/>
          <w:lang w:val="en-US"/>
        </w:rPr>
        <w:t xml:space="preserve">(Корнюшкин Геннадий Александрович) </w:t>
      </w:r>
    </w:p>
    <w:p>
      <w:pPr>
        <w:pStyle w:val="NormalWeb"/>
        <w:spacing w:lineRule="auto" w:line="264" w:beforeAutospacing="0" w:before="600" w:afterAutospacing="0" w:after="280"/>
        <w:ind w:left="567" w:hanging="0"/>
        <w:jc w:val="both"/>
        <w:rPr>
          <w:lang w:val="en-US"/>
        </w:rPr>
      </w:pPr>
      <w:r>
        <w:rPr>
          <w:lang w:val="en-US"/>
        </w:rPr>
        <w:t>_______________ Корнюшкин Геннадий Александрович</w:t>
      </w:r>
    </w:p>
    <w:p>
      <w:pPr>
        <w:pStyle w:val="Normal"/>
        <w:spacing w:lineRule="auto" w:line="264" w:before="0" w:after="120"/>
        <w:rPr>
          <w:lang w:val="en-US"/>
        </w:rPr>
      </w:pPr>
      <w:r>
        <w:rPr>
          <w:lang w:val="en-US"/>
        </w:rPr>
      </w:r>
    </w:p>
    <w:p>
      <w:pPr>
        <w:pStyle w:val="NormalWeb"/>
        <w:spacing w:lineRule="auto" w:line="264" w:beforeAutospacing="0" w:before="120" w:afterAutospacing="0" w:after="120"/>
        <w:jc w:val="both"/>
        <w:rPr>
          <w:lang w:val="en-US"/>
        </w:rPr>
      </w:pPr>
      <w:r>
        <w:rPr/>
      </w:r>
    </w:p>
    <w:sectPr>
      <w:headerReference w:type="default" r:id="rId3"/>
      <w:type w:val="nextPage"/>
      <w:pgSz w:w="11906" w:h="16838"/>
      <w:pgMar w:left="1701" w:right="1134" w:header="708" w:top="851" w:footer="0"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Light">
    <w:charset w:val="01"/>
    <w:family w:val="roman"/>
    <w:pitch w:val="variable"/>
  </w:font>
  <w:font w:name="Segoe UI">
    <w:charset w:val="01"/>
    <w:family w:val="roman"/>
    <w:pitch w:val="variable"/>
  </w:font>
  <w:font w:name="Liberation Sans">
    <w:altName w:val="Arial"/>
    <w:charset w:val="01"/>
    <w:family w:val="roman"/>
    <w:pitch w:val="variable"/>
  </w:font>
  <w:font w:name="Liberation Mono">
    <w:altName w:val="Courier New"/>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0" distR="0" simplePos="0" locked="0" layoutInCell="1" allowOverlap="1" relativeHeight="3" wp14:anchorId="5DD1E789">
              <wp:simplePos x="0" y="0"/>
              <wp:positionH relativeFrom="column">
                <wp:posOffset>-1076960</wp:posOffset>
              </wp:positionH>
              <wp:positionV relativeFrom="paragraph">
                <wp:posOffset>-446405</wp:posOffset>
              </wp:positionV>
              <wp:extent cx="7564755" cy="10696575"/>
              <wp:effectExtent l="133350" t="133350" r="139700" b="170180"/>
              <wp:wrapNone/>
              <wp:docPr id="2" name="Рисунок 1"/>
              <a:graphic xmlns:a="http://schemas.openxmlformats.org/drawingml/2006/main">
                <a:graphicData uri="http://schemas.openxmlformats.org/drawingml/2006/picture">
                  <pic:pic xmlns:pic="http://schemas.openxmlformats.org/drawingml/2006/picture">
                    <pic:nvPicPr>
                      <pic:cNvPr id="0" name="Рисунок 1" descr=""/>
                      <pic:cNvPicPr/>
                    </pic:nvPicPr>
                    <pic:blipFill>
                      <a:blip r:embed="rId1"/>
                      <a:stretch/>
                    </pic:blipFill>
                    <pic:spPr>
                      <a:xfrm>
                        <a:off x="0" y="0"/>
                        <a:ext cx="7563960" cy="10695960"/>
                      </a:xfrm>
                      <a:prstGeom prst="rect">
                        <a:avLst/>
                      </a:prstGeom>
                      <a:ln w="88920">
                        <a:solidFill>
                          <a:srgbClr val="ffffff"/>
                        </a:solidFill>
                        <a:miter/>
                      </a:ln>
                      <a:effectLst>
                        <a:outerShdw algn="tl" blurRad="55000" dir="5400000" dist="17640" rotWithShape="0">
                          <a:srgbClr val="000000">
                            <a:alpha val="40000"/>
                          </a:srgbClr>
                        </a:outerShdw>
                      </a:effectLst>
                      <a:scene3d>
                        <a:camera prst="orthographicFront"/>
                        <a:lightRig dir="t" rig="twoPt">
                          <a:rot lat="0" lon="0" rev="7200000"/>
                        </a:lightRig>
                      </a:scene3d>
                      <a:sp3d>
                        <a:bevelT w="25400" h="19050"/>
                        <a:contourClr>
                          <a:srgbClr val="ffffff"/>
                        </a:contourClr>
                      </a:sp3d>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Рисунок 1" stroked="t" style="position:absolute;margin-left:-84.8pt;margin-top:-35.15pt;width:595.55pt;height:842.15pt" wp14:anchorId="5DD1E789" type="shapetype_75">
              <v:imagedata r:id="rId1" o:detectmouseclick="t"/>
              <w10:wrap type="none"/>
              <v:stroke color="white" weight="88920" joinstyle="miter" endcap="flat"/>
              <v:shadow on="t" obscured="f" color="black"/>
            </v:shape>
          </w:pict>
        </mc:Fallback>
      </mc:AlternateContent>
    </w:r>
  </w:p>
</w:hdr>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uiPriority="0" w:semiHidden="1" w:unhideWhenUsed="1" w:qFormat="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both"/>
    </w:pPr>
    <w:rPr>
      <w:rFonts w:ascii="Times New Roman" w:hAnsi="Times New Roman" w:eastAsia="" w:cs="Times New Roman" w:eastAsiaTheme="minorEastAsia"/>
      <w:color w:val="00000A"/>
      <w:kern w:val="0"/>
      <w:sz w:val="24"/>
      <w:szCs w:val="24"/>
      <w:lang w:val="ru-RU" w:eastAsia="ru-RU" w:bidi="ar-SA"/>
    </w:rPr>
  </w:style>
  <w:style w:type="paragraph" w:styleId="Heading1">
    <w:name w:val="Heading 1"/>
    <w:basedOn w:val="Normal"/>
    <w:link w:val="10"/>
    <w:uiPriority w:val="9"/>
    <w:qFormat/>
    <w:pPr>
      <w:keepNext w:val="true"/>
      <w:spacing w:lineRule="auto" w:line="480" w:before="240" w:after="60"/>
      <w:ind w:firstLine="737"/>
      <w:jc w:val="center"/>
      <w:outlineLvl w:val="0"/>
    </w:pPr>
    <w:rPr>
      <w:b/>
      <w:bCs/>
      <w:kern w:val="2"/>
      <w:sz w:val="32"/>
      <w:szCs w:val="32"/>
    </w:rPr>
  </w:style>
  <w:style w:type="paragraph" w:styleId="Heading2">
    <w:name w:val="Heading 2"/>
    <w:basedOn w:val="Normal"/>
    <w:link w:val="20"/>
    <w:uiPriority w:val="9"/>
    <w:qFormat/>
    <w:pPr>
      <w:keepNext w:val="true"/>
      <w:spacing w:before="480" w:after="240"/>
      <w:ind w:left="567" w:firstLine="737"/>
      <w:outlineLvl w:val="1"/>
    </w:pPr>
    <w:rPr>
      <w:b/>
      <w:bCs/>
      <w:sz w:val="28"/>
      <w:szCs w:val="28"/>
    </w:rPr>
  </w:style>
  <w:style w:type="character" w:styleId="DefaultParagraphFont" w:default="1">
    <w:name w:val="Default Paragraph Font"/>
    <w:uiPriority w:val="1"/>
    <w:semiHidden/>
    <w:unhideWhenUsed/>
    <w:qFormat/>
    <w:rPr/>
  </w:style>
  <w:style w:type="character" w:styleId="Style12" w:customStyle="1">
    <w:name w:val="Интернет-ссылка"/>
    <w:basedOn w:val="DefaultParagraphFont"/>
    <w:uiPriority w:val="99"/>
    <w:unhideWhenUsed/>
    <w:qFormat/>
    <w:rPr>
      <w:color w:val="0000FF"/>
      <w:u w:val="single"/>
    </w:rPr>
  </w:style>
  <w:style w:type="character" w:styleId="VisitedInternetLink">
    <w:name w:val="FollowedHyperlink"/>
    <w:basedOn w:val="DefaultParagraphFont"/>
    <w:uiPriority w:val="99"/>
    <w:semiHidden/>
    <w:unhideWhenUsed/>
    <w:qFormat/>
    <w:rPr>
      <w:color w:val="0000FF"/>
      <w:u w:val="single"/>
    </w:rPr>
  </w:style>
  <w:style w:type="character" w:styleId="1" w:customStyle="1">
    <w:name w:val="Заголовок 1 Знак"/>
    <w:basedOn w:val="DefaultParagraphFont"/>
    <w:link w:val="1"/>
    <w:uiPriority w:val="9"/>
    <w:qFormat/>
    <w:rPr>
      <w:rFonts w:ascii="Calibri Light" w:hAnsi="Calibri Light" w:eastAsia="" w:cs="" w:asciiTheme="majorHAnsi" w:cstheme="majorBidi" w:eastAsiaTheme="majorEastAsia" w:hAnsiTheme="majorHAnsi"/>
      <w:color w:val="2F5496" w:themeColor="accent1" w:themeShade="bf"/>
      <w:sz w:val="32"/>
      <w:szCs w:val="32"/>
    </w:rPr>
  </w:style>
  <w:style w:type="character" w:styleId="2" w:customStyle="1">
    <w:name w:val="Заголовок 2 Знак"/>
    <w:basedOn w:val="DefaultParagraphFont"/>
    <w:link w:val="2"/>
    <w:uiPriority w:val="9"/>
    <w:semiHidden/>
    <w:qFormat/>
    <w:rPr>
      <w:rFonts w:ascii="Calibri Light" w:hAnsi="Calibri Light" w:eastAsia="" w:cs="" w:asciiTheme="majorHAnsi" w:cstheme="majorBidi" w:eastAsiaTheme="majorEastAsia" w:hAnsiTheme="majorHAnsi"/>
      <w:color w:val="2F5496" w:themeColor="accent1" w:themeShade="bf"/>
      <w:sz w:val="26"/>
      <w:szCs w:val="26"/>
    </w:rPr>
  </w:style>
  <w:style w:type="character" w:styleId="Style13" w:customStyle="1">
    <w:name w:val="Заголовок Знак"/>
    <w:basedOn w:val="DefaultParagraphFont"/>
    <w:uiPriority w:val="10"/>
    <w:qFormat/>
    <w:rPr>
      <w:rFonts w:ascii="Calibri Light" w:hAnsi="Calibri Light" w:eastAsia="" w:cs="" w:asciiTheme="majorHAnsi" w:cstheme="majorBidi" w:eastAsiaTheme="majorEastAsia" w:hAnsiTheme="majorHAnsi"/>
      <w:spacing w:val="-10"/>
      <w:kern w:val="2"/>
      <w:sz w:val="56"/>
      <w:szCs w:val="56"/>
    </w:rPr>
  </w:style>
  <w:style w:type="character" w:styleId="Style14" w:customStyle="1">
    <w:name w:val="Основной текст Знак"/>
    <w:basedOn w:val="DefaultParagraphFont"/>
    <w:uiPriority w:val="99"/>
    <w:semiHidden/>
    <w:qFormat/>
    <w:rPr>
      <w:rFonts w:eastAsia="" w:eastAsiaTheme="minorEastAsia"/>
      <w:sz w:val="24"/>
      <w:szCs w:val="24"/>
    </w:rPr>
  </w:style>
  <w:style w:type="character" w:styleId="Style15" w:customStyle="1">
    <w:name w:val="Основной текст с отступом Знак"/>
    <w:basedOn w:val="DefaultParagraphFont"/>
    <w:uiPriority w:val="99"/>
    <w:semiHidden/>
    <w:qFormat/>
    <w:rPr>
      <w:rFonts w:eastAsia="" w:eastAsiaTheme="minorEastAsia"/>
      <w:sz w:val="24"/>
      <w:szCs w:val="24"/>
    </w:rPr>
  </w:style>
  <w:style w:type="character" w:styleId="Style16" w:customStyle="1">
    <w:name w:val="Верхний колонтитул Знак"/>
    <w:basedOn w:val="DefaultParagraphFont"/>
    <w:uiPriority w:val="99"/>
    <w:qFormat/>
    <w:rsid w:val="00b473ec"/>
    <w:rPr>
      <w:rFonts w:eastAsia="" w:eastAsiaTheme="minorEastAsia"/>
      <w:sz w:val="24"/>
      <w:szCs w:val="24"/>
    </w:rPr>
  </w:style>
  <w:style w:type="character" w:styleId="Style17" w:customStyle="1">
    <w:name w:val="Нижний колонтитул Знак"/>
    <w:basedOn w:val="DefaultParagraphFont"/>
    <w:uiPriority w:val="99"/>
    <w:qFormat/>
    <w:rsid w:val="00b473ec"/>
    <w:rPr>
      <w:rFonts w:eastAsia="" w:eastAsiaTheme="minorEastAsia"/>
      <w:sz w:val="24"/>
      <w:szCs w:val="24"/>
    </w:rPr>
  </w:style>
  <w:style w:type="character" w:styleId="UnresolvedMention">
    <w:name w:val="Unresolved Mention"/>
    <w:basedOn w:val="DefaultParagraphFont"/>
    <w:uiPriority w:val="99"/>
    <w:semiHidden/>
    <w:unhideWhenUsed/>
    <w:qFormat/>
    <w:rsid w:val="00d9376f"/>
    <w:rPr>
      <w:color w:val="808080"/>
      <w:shd w:fill="E6E6E6" w:val="clear"/>
    </w:rPr>
  </w:style>
  <w:style w:type="character" w:styleId="Annotationreference">
    <w:name w:val="annotation reference"/>
    <w:basedOn w:val="DefaultParagraphFont"/>
    <w:uiPriority w:val="99"/>
    <w:semiHidden/>
    <w:unhideWhenUsed/>
    <w:qFormat/>
    <w:rsid w:val="001b29e0"/>
    <w:rPr>
      <w:sz w:val="16"/>
      <w:szCs w:val="16"/>
    </w:rPr>
  </w:style>
  <w:style w:type="character" w:styleId="Style18" w:customStyle="1">
    <w:name w:val="Текст примечания Знак"/>
    <w:basedOn w:val="DefaultParagraphFont"/>
    <w:uiPriority w:val="99"/>
    <w:semiHidden/>
    <w:qFormat/>
    <w:rsid w:val="001b29e0"/>
    <w:rPr>
      <w:rFonts w:eastAsia="" w:eastAsiaTheme="minorEastAsia"/>
    </w:rPr>
  </w:style>
  <w:style w:type="character" w:styleId="Style19" w:customStyle="1">
    <w:name w:val="Тема примечания Знак"/>
    <w:basedOn w:val="Style18"/>
    <w:uiPriority w:val="99"/>
    <w:semiHidden/>
    <w:qFormat/>
    <w:rsid w:val="001b29e0"/>
    <w:rPr>
      <w:rFonts w:eastAsia="" w:eastAsiaTheme="minorEastAsia"/>
      <w:b/>
      <w:bCs/>
    </w:rPr>
  </w:style>
  <w:style w:type="character" w:styleId="Style20" w:customStyle="1">
    <w:name w:val="Текст выноски Знак"/>
    <w:basedOn w:val="DefaultParagraphFont"/>
    <w:uiPriority w:val="99"/>
    <w:semiHidden/>
    <w:qFormat/>
    <w:rsid w:val="001b29e0"/>
    <w:rPr>
      <w:rFonts w:ascii="Segoe UI" w:hAnsi="Segoe UI" w:eastAsia="" w:cs="Segoe UI" w:eastAsiaTheme="minorEastAsia"/>
      <w:sz w:val="18"/>
      <w:szCs w:val="18"/>
    </w:rPr>
  </w:style>
  <w:style w:type="character" w:styleId="Style21" w:customStyle="1">
    <w:name w:val="Посещённая гиперссылка"/>
    <w:qFormat/>
    <w:rPr>
      <w:color w:val="800000"/>
      <w:u w:val="single"/>
    </w:rPr>
  </w:style>
  <w:style w:type="paragraph" w:styleId="Heading" w:customStyle="1">
    <w:name w:val="Heading"/>
    <w:basedOn w:val="Normal"/>
    <w:next w:val="TextBody"/>
    <w:qFormat/>
    <w:rsid w:val="00bc4939"/>
    <w:pPr>
      <w:keepNext w:val="true"/>
      <w:spacing w:before="240" w:after="120"/>
    </w:pPr>
    <w:rPr>
      <w:rFonts w:ascii="Liberation Sans" w:hAnsi="Liberation Sans" w:eastAsia="Noto Sans CJK SC" w:cs="Lohit Devanagari"/>
      <w:sz w:val="28"/>
      <w:szCs w:val="28"/>
    </w:rPr>
  </w:style>
  <w:style w:type="paragraph" w:styleId="TextBody">
    <w:name w:val="Body Text"/>
    <w:basedOn w:val="Normal"/>
    <w:uiPriority w:val="99"/>
    <w:semiHidden/>
    <w:unhideWhenUsed/>
    <w:pPr>
      <w:spacing w:lineRule="auto" w:line="360" w:beforeAutospacing="1" w:afterAutospacing="1"/>
      <w:ind w:firstLine="737"/>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TextBody"/>
    <w:uiPriority w:val="10"/>
    <w:qFormat/>
    <w:pPr>
      <w:keepNext w:val="true"/>
      <w:spacing w:lineRule="auto" w:line="480" w:before="240" w:after="60"/>
      <w:ind w:firstLine="737"/>
      <w:jc w:val="center"/>
    </w:pPr>
    <w:rPr>
      <w:b/>
      <w:bCs/>
      <w:sz w:val="36"/>
      <w:szCs w:val="36"/>
    </w:rPr>
  </w:style>
  <w:style w:type="paragraph" w:styleId="Caption1">
    <w:name w:val="caption"/>
    <w:basedOn w:val="Normal"/>
    <w:qFormat/>
    <w:pPr>
      <w:suppressLineNumbers/>
      <w:spacing w:before="120" w:after="120"/>
    </w:pPr>
    <w:rPr>
      <w:rFonts w:cs="Lohit Devanagari"/>
      <w:i/>
      <w:iCs/>
    </w:rPr>
  </w:style>
  <w:style w:type="paragraph" w:styleId="Indexheading">
    <w:name w:val="index heading"/>
    <w:basedOn w:val="Normal"/>
    <w:qFormat/>
    <w:pPr>
      <w:suppressLineNumbers/>
    </w:pPr>
    <w:rPr>
      <w:rFonts w:cs="Lohit Devanagari"/>
    </w:rPr>
  </w:style>
  <w:style w:type="paragraph" w:styleId="Msonormal" w:customStyle="1">
    <w:name w:val="msonormal"/>
    <w:basedOn w:val="Normal"/>
    <w:qFormat/>
    <w:pPr>
      <w:spacing w:beforeAutospacing="1" w:afterAutospacing="1"/>
      <w:jc w:val="left"/>
    </w:pPr>
    <w:rPr/>
  </w:style>
  <w:style w:type="paragraph" w:styleId="ListParagraph">
    <w:name w:val="List Paragraph"/>
    <w:basedOn w:val="Normal"/>
    <w:uiPriority w:val="34"/>
    <w:qFormat/>
    <w:pPr>
      <w:spacing w:beforeAutospacing="1" w:afterAutospacing="1"/>
      <w:ind w:left="360" w:hanging="360"/>
      <w:jc w:val="left"/>
    </w:pPr>
    <w:rPr>
      <w:b/>
      <w:bCs/>
    </w:rPr>
  </w:style>
  <w:style w:type="paragraph" w:styleId="TextBodyIndent">
    <w:name w:val="Body Text Indent"/>
    <w:basedOn w:val="Normal"/>
    <w:uiPriority w:val="99"/>
    <w:semiHidden/>
    <w:unhideWhenUsed/>
    <w:pPr>
      <w:spacing w:lineRule="auto" w:line="360" w:beforeAutospacing="1" w:afterAutospacing="1"/>
      <w:ind w:firstLine="737"/>
    </w:pPr>
    <w:rPr/>
  </w:style>
  <w:style w:type="paragraph" w:styleId="Tabletext" w:customStyle="1">
    <w:name w:val="tabletext"/>
    <w:basedOn w:val="Normal"/>
    <w:qFormat/>
    <w:pPr>
      <w:jc w:val="left"/>
    </w:pPr>
    <w:rPr/>
  </w:style>
  <w:style w:type="paragraph" w:styleId="Tablehead" w:customStyle="1">
    <w:name w:val="tablehead"/>
    <w:basedOn w:val="Normal"/>
    <w:qFormat/>
    <w:pPr>
      <w:jc w:val="left"/>
    </w:pPr>
    <w:rPr>
      <w:b/>
      <w:bCs/>
    </w:rPr>
  </w:style>
  <w:style w:type="paragraph" w:styleId="Paragraph" w:customStyle="1">
    <w:name w:val="paragraph"/>
    <w:basedOn w:val="Normal"/>
    <w:qFormat/>
    <w:pPr>
      <w:ind w:firstLine="567"/>
      <w:jc w:val="left"/>
    </w:pPr>
    <w:rPr>
      <w:b/>
      <w:bCs/>
    </w:rPr>
  </w:style>
  <w:style w:type="paragraph" w:styleId="Paragraphtext" w:customStyle="1">
    <w:name w:val="paragraphtext"/>
    <w:basedOn w:val="Normal"/>
    <w:qFormat/>
    <w:pPr>
      <w:ind w:firstLine="567"/>
    </w:pPr>
    <w:rPr/>
  </w:style>
  <w:style w:type="paragraph" w:styleId="Paragraphtextwithoutindent" w:customStyle="1">
    <w:name w:val="paragraphtextwithoutindent"/>
    <w:basedOn w:val="Normal"/>
    <w:qFormat/>
    <w:pPr/>
    <w:rPr/>
  </w:style>
  <w:style w:type="paragraph" w:styleId="Paragraphlist" w:customStyle="1">
    <w:name w:val="paragraphlist"/>
    <w:basedOn w:val="Normal"/>
    <w:qFormat/>
    <w:pPr>
      <w:spacing w:beforeAutospacing="1" w:afterAutospacing="1"/>
    </w:pPr>
    <w:rPr/>
  </w:style>
  <w:style w:type="paragraph" w:styleId="Questiontext" w:customStyle="1">
    <w:name w:val="questiontext"/>
    <w:basedOn w:val="Normal"/>
    <w:qFormat/>
    <w:pPr>
      <w:ind w:left="-567" w:right="-567" w:firstLine="567"/>
    </w:pPr>
    <w:rPr/>
  </w:style>
  <w:style w:type="paragraph" w:styleId="Committee" w:customStyle="1">
    <w:name w:val="committee"/>
    <w:basedOn w:val="Normal"/>
    <w:qFormat/>
    <w:pPr>
      <w:ind w:firstLine="567"/>
    </w:pPr>
    <w:rPr/>
  </w:style>
  <w:style w:type="paragraph" w:styleId="Committeename" w:customStyle="1">
    <w:name w:val="committeename"/>
    <w:basedOn w:val="Normal"/>
    <w:qFormat/>
    <w:pPr>
      <w:jc w:val="left"/>
    </w:pPr>
    <w:rPr/>
  </w:style>
  <w:style w:type="paragraph" w:styleId="Committeesignaturename" w:customStyle="1">
    <w:name w:val="committeesignaturename"/>
    <w:basedOn w:val="Normal"/>
    <w:qFormat/>
    <w:pPr>
      <w:spacing w:beforeAutospacing="1" w:afterAutospacing="1"/>
      <w:jc w:val="left"/>
    </w:pPr>
    <w:rPr/>
  </w:style>
  <w:style w:type="paragraph" w:styleId="Committeesignature" w:customStyle="1">
    <w:name w:val="committeesignature"/>
    <w:basedOn w:val="Normal"/>
    <w:qFormat/>
    <w:pPr>
      <w:spacing w:beforeAutospacing="1" w:afterAutospacing="1"/>
      <w:ind w:left="1134" w:hanging="567"/>
      <w:jc w:val="left"/>
    </w:pPr>
    <w:rPr/>
  </w:style>
  <w:style w:type="paragraph" w:styleId="Noticeparagraphtext" w:customStyle="1">
    <w:name w:val="noticeparagraphtext"/>
    <w:basedOn w:val="Normal"/>
    <w:qFormat/>
    <w:pPr>
      <w:ind w:firstLine="567"/>
    </w:pPr>
    <w:rPr>
      <w:sz w:val="28"/>
      <w:szCs w:val="28"/>
    </w:rPr>
  </w:style>
  <w:style w:type="paragraph" w:styleId="NormalWeb">
    <w:name w:val="Normal (Web)"/>
    <w:basedOn w:val="Normal"/>
    <w:uiPriority w:val="99"/>
    <w:semiHidden/>
    <w:unhideWhenUsed/>
    <w:qFormat/>
    <w:pPr>
      <w:spacing w:beforeAutospacing="1" w:afterAutospacing="1"/>
      <w:jc w:val="left"/>
    </w:pPr>
    <w:rPr/>
  </w:style>
  <w:style w:type="paragraph" w:styleId="Style22" w:customStyle="1">
    <w:name w:val="Содержимое таблицы"/>
    <w:basedOn w:val="Normal"/>
    <w:qFormat/>
    <w:rsid w:val="002b17d7"/>
    <w:pPr>
      <w:suppressLineNumbers/>
      <w:suppressAutoHyphens w:val="true"/>
      <w:jc w:val="left"/>
    </w:pPr>
    <w:rPr>
      <w:rFonts w:eastAsia="Times New Roman"/>
      <w:lang w:eastAsia="zh-CN"/>
    </w:rPr>
  </w:style>
  <w:style w:type="paragraph" w:styleId="HeaderandFooter">
    <w:name w:val="Header and Footer"/>
    <w:basedOn w:val="Normal"/>
    <w:qFormat/>
    <w:pPr/>
    <w:rPr/>
  </w:style>
  <w:style w:type="paragraph" w:styleId="Header">
    <w:name w:val="Header"/>
    <w:basedOn w:val="Normal"/>
    <w:uiPriority w:val="99"/>
    <w:unhideWhenUsed/>
    <w:rsid w:val="00b473ec"/>
    <w:pPr>
      <w:tabs>
        <w:tab w:val="clear" w:pos="720"/>
        <w:tab w:val="center" w:pos="4677" w:leader="none"/>
        <w:tab w:val="right" w:pos="9355" w:leader="none"/>
      </w:tabs>
    </w:pPr>
    <w:rPr/>
  </w:style>
  <w:style w:type="paragraph" w:styleId="Footer">
    <w:name w:val="Footer"/>
    <w:basedOn w:val="Normal"/>
    <w:uiPriority w:val="99"/>
    <w:unhideWhenUsed/>
    <w:rsid w:val="00b473ec"/>
    <w:pPr>
      <w:tabs>
        <w:tab w:val="clear" w:pos="720"/>
        <w:tab w:val="center" w:pos="4677" w:leader="none"/>
        <w:tab w:val="right" w:pos="9355" w:leader="none"/>
      </w:tabs>
    </w:pPr>
    <w:rPr/>
  </w:style>
  <w:style w:type="paragraph" w:styleId="Annotationtext">
    <w:name w:val="annotation text"/>
    <w:basedOn w:val="Normal"/>
    <w:uiPriority w:val="99"/>
    <w:semiHidden/>
    <w:unhideWhenUsed/>
    <w:qFormat/>
    <w:rsid w:val="001b29e0"/>
    <w:pPr/>
    <w:rPr>
      <w:sz w:val="20"/>
      <w:szCs w:val="20"/>
    </w:rPr>
  </w:style>
  <w:style w:type="paragraph" w:styleId="Annotationsubject">
    <w:name w:val="annotation subject"/>
    <w:basedOn w:val="Annotationtext"/>
    <w:uiPriority w:val="99"/>
    <w:semiHidden/>
    <w:unhideWhenUsed/>
    <w:qFormat/>
    <w:rsid w:val="001b29e0"/>
    <w:pPr/>
    <w:rPr>
      <w:b/>
      <w:bCs/>
    </w:rPr>
  </w:style>
  <w:style w:type="paragraph" w:styleId="BalloonText">
    <w:name w:val="Balloon Text"/>
    <w:basedOn w:val="Normal"/>
    <w:uiPriority w:val="99"/>
    <w:semiHidden/>
    <w:unhideWhenUsed/>
    <w:qFormat/>
    <w:rsid w:val="001b29e0"/>
    <w:pPr/>
    <w:rPr>
      <w:rFonts w:ascii="Segoe UI" w:hAnsi="Segoe UI" w:cs="Segoe UI"/>
      <w:sz w:val="18"/>
      <w:szCs w:val="18"/>
    </w:rPr>
  </w:style>
  <w:style w:type="paragraph" w:styleId="Style23" w:customStyle="1">
    <w:name w:val="Текст в заданном формате"/>
    <w:basedOn w:val="Normal"/>
    <w:qFormat/>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B3CB6-4AE5-4079-BA54-DB984CC24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Application>LibreOffice/6.4.6.2$Linux_X86_64 LibreOffice_project/40$Build-2</Application>
  <Pages>2</Pages>
  <Words>245</Words>
  <Characters>2019</Characters>
  <CharactersWithSpaces>2217</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2018-02-15T22:24:00Z</dcterms:created>
  <dc:creator>Boss</dc:creator>
  <dc:description/>
  <dc:language>ru-RU</dc:language>
  <cp:lastModifiedBy/>
  <dcterms:modified xsi:type="dcterms:W3CDTF">2020-10-28T11:15:07Z</dcterms:modified>
  <cp:revision>54</cp:revision>
  <dc:subject/>
  <dc:title>«УТВЕРЖДАЮ»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