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5185–ОАЗФ/1/4</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4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«21» февраля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5185-ОАЗФ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4</w:t>
      </w:r>
      <w:r>
        <w:rPr>
          <w:rFonts w:eastAsia="Times New Roman"/>
        </w:rPr>
        <w:t>: Право требования к юридическим лицами и индивидуальным предпринимателям на общую сумму 2631469,58 рублей: ООО "ДАНВЕТ" на сумму 28 586,31 рублей, ООО "Торговый дом "Содружество" на сумму 14 976,71 рублей, СХПК (колхоз) "Молодейский" на сумму 5 573,12 рублей, ОАО "Продмаш" на сумму 6 129,86 рублей, ООО "Сланцевское" на сумму 419 192,04 рублей, ООО "Торговый Дом Ударник" на сумму 233 556,84 рублей, ООО "Торговая компания "Благо" на сумму 5 500,00 рублей, ООО Торговый дом "АГРОДОН" на сумму 100 000,00 рублей, Филиал ООО"УНЕКС ГмбХ" на сумму 10 145,47 рублей, ООО "ВсеИнструменты.ру" на сумму 49,00 рублей, ООО "КИРИШИАВТОСЕРВИС" на сумму 5 859,60 рублей, АО "ЛенРеактив" на сумму 14611,20 рублей, ООО "НПО "АТК" на сумму 1 956,00 рублей, ООО "Тардус" на сумму 11 788,00 рублей, ООО "ПетербургТеплоСервис" на сумму 78 600,00 рублей, ООО "РЕГТАЙМ" на сумму 1 095,12 рублей, ОАО "Российские железные дороги" на сумму 194 584,95 рублей, ПАО "Ростелеком" на сумму 17 628,13 рублей, ООО "СД Шасси" на сумму 29 835,00 рублей, ООО "Эпромстрой" на сумму 2 004,00 рублей, ООО "Деловые Линии" на сумму 13 254,90 рублей, ООО "Центр программирования и информатики "Колос-С" на сумму 21 625,00 рублей, ООО "Лаборатория" на сумму 36 828,00 рублей, ПАО "Мегафон" на сумму 79 881,43 рублей, ООО "МЦФЭР" на сумму 929,50 рублей, ООО "АГРО-ЛИНИЯ" на сумму 167 038,75 рублей, ООО "Балтийская кормовая компания" на сумму 483 448,96 рублей, ООО "ДАНКО" на сумму 20 286,30 рублей, ООО "ГЛОБАЛ-ФАРМ" на сумму 35 325,57 рублей, ООО "Племенной завод "Урожай" на сумму 500,00 рублей, ООО "Фидимпорт" на сумму 25 318,67 рублей, ИП Хамоков Марат Эльдарович на сумму 56 509,96 рублей, ООО "ФУТУРО-АГРО" на сумму 164,82 рублей, ООО "Агро-Трейд" на сумму 33 386,56 рублей, ООО "Влад и К" на сумму 5 270,69 рублей, ООО "РОЯЛ +" на сумму 31 651,00 рублей, ИП Мурадов М. Б. О. на сумму 50 000,00 рублей, ООО "Племенной завод " Оредежский" на сумму 388 378,12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2 631 469.58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«17» января 2022г. 00:00:00</w:t>
      </w:r>
    </w:p>
    <w:p>
      <w:pPr>
        <w:pStyle w:val="Normal"/>
        <w:spacing w:lineRule="auto" w:line="264" w:before="0" w:after="120"/>
        <w:ind w:left="142" w:firstLine="425"/>
        <w:rPr/>
      </w:pPr>
      <w:r>
        <w:rPr/>
        <w:t>Дата окончания представления заявок: «19» февраля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