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9D77" w14:textId="77777777"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0744C2F0" w14:textId="77777777"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3F72975" w14:textId="77777777"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6BFE5727" w14:textId="77777777"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</w:t>
      </w:r>
      <w:r w:rsidR="0051760A">
        <w:rPr>
          <w:rFonts w:ascii="Times New Roman" w:hAnsi="Times New Roman"/>
          <w:b/>
          <w:sz w:val="22"/>
          <w:szCs w:val="22"/>
        </w:rPr>
        <w:t>22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14:paraId="17625181" w14:textId="77777777"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1DD8FB7" w14:textId="77777777"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14:paraId="1BDF2EC2" w14:textId="77777777"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C1182B2" w14:textId="77777777"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26CFC5AD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0BDF3D9D" w14:textId="77777777"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0E4B799E" w14:textId="77777777"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0085641D" w14:textId="77777777"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185E6B7A" w14:textId="77777777"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F43136" w:rsidRPr="00C05D98">
        <w:rPr>
          <w:color w:val="auto"/>
          <w:sz w:val="22"/>
          <w:szCs w:val="22"/>
        </w:rPr>
        <w:t xml:space="preserve">20%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C05D98">
        <w:rPr>
          <w:color w:val="auto"/>
          <w:sz w:val="22"/>
          <w:szCs w:val="22"/>
        </w:rPr>
        <w:t>.</w:t>
      </w:r>
    </w:p>
    <w:p w14:paraId="794DF0F9" w14:textId="77777777"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B129A4" w:rsidRPr="00B129A4">
        <w:rPr>
          <w:color w:val="auto"/>
          <w:sz w:val="22"/>
          <w:szCs w:val="22"/>
        </w:rPr>
        <w:t xml:space="preserve">торгов посредством аукциона с открытой формой подачи ценовых предложений по продаже имущества </w:t>
      </w:r>
      <w:r w:rsidR="0028353D">
        <w:rPr>
          <w:color w:val="auto"/>
          <w:sz w:val="22"/>
          <w:szCs w:val="22"/>
        </w:rPr>
        <w:t>ООО «</w:t>
      </w:r>
      <w:r w:rsidR="005064A4">
        <w:rPr>
          <w:color w:val="auto"/>
          <w:sz w:val="22"/>
          <w:szCs w:val="22"/>
        </w:rPr>
        <w:t>КОН</w:t>
      </w:r>
      <w:r w:rsidR="0028353D">
        <w:rPr>
          <w:color w:val="auto"/>
          <w:sz w:val="22"/>
          <w:szCs w:val="22"/>
        </w:rPr>
        <w:t>»</w:t>
      </w:r>
      <w:r w:rsidR="00B129A4" w:rsidRPr="00B129A4">
        <w:rPr>
          <w:color w:val="auto"/>
          <w:sz w:val="22"/>
          <w:szCs w:val="22"/>
        </w:rPr>
        <w:t xml:space="preserve"> в электронной форме на электронной торговой площадке «Всероссийская Электронная Торговая Площадка» (https://банкрот.</w:t>
      </w:r>
      <w:r w:rsidR="00B129A4">
        <w:rPr>
          <w:color w:val="auto"/>
          <w:sz w:val="22"/>
          <w:szCs w:val="22"/>
        </w:rPr>
        <w:t>вэтп.рф)</w:t>
      </w:r>
      <w:r w:rsidR="00B129A4" w:rsidRPr="00B129A4">
        <w:rPr>
          <w:color w:val="auto"/>
          <w:sz w:val="22"/>
          <w:szCs w:val="22"/>
        </w:rPr>
        <w:t>.</w:t>
      </w:r>
    </w:p>
    <w:p w14:paraId="3E227B01" w14:textId="77777777"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14:paraId="4BD59EDE" w14:textId="77777777"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5D3C8BC1" w14:textId="77777777"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6CA5489" w14:textId="77777777"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14:paraId="4B19FB6A" w14:textId="77777777"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3ECEDDDC" w14:textId="77777777" w:rsidR="00BA74A4" w:rsidRPr="00BC09B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b/>
          <w:sz w:val="22"/>
          <w:szCs w:val="22"/>
        </w:rPr>
      </w:pPr>
      <w:r w:rsidRPr="00BC09B3">
        <w:rPr>
          <w:b/>
          <w:sz w:val="22"/>
          <w:szCs w:val="22"/>
        </w:rPr>
        <w:t xml:space="preserve">Реквизиты для перечисления задатка: Получатель: </w:t>
      </w:r>
      <w:r w:rsidR="008B5890" w:rsidRPr="00BC09B3">
        <w:rPr>
          <w:b/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</w:t>
      </w:r>
      <w:r w:rsidR="00995635" w:rsidRPr="00BC09B3">
        <w:rPr>
          <w:b/>
          <w:sz w:val="22"/>
          <w:szCs w:val="22"/>
        </w:rPr>
        <w:t xml:space="preserve">. Назначение платежа: «Задаток </w:t>
      </w:r>
      <w:r w:rsidR="008B5890" w:rsidRPr="00BC09B3">
        <w:rPr>
          <w:b/>
          <w:sz w:val="22"/>
          <w:szCs w:val="22"/>
        </w:rPr>
        <w:t>за участие в торгах</w:t>
      </w:r>
      <w:r w:rsidR="00995635" w:rsidRPr="00BC09B3">
        <w:rPr>
          <w:b/>
          <w:sz w:val="22"/>
          <w:szCs w:val="22"/>
        </w:rPr>
        <w:t xml:space="preserve"> </w:t>
      </w:r>
      <w:r w:rsidR="008B5890" w:rsidRPr="00BC09B3">
        <w:rPr>
          <w:b/>
          <w:sz w:val="22"/>
          <w:szCs w:val="22"/>
        </w:rPr>
        <w:t>№___по реализации</w:t>
      </w:r>
      <w:r w:rsidR="00995635" w:rsidRPr="00BC09B3">
        <w:rPr>
          <w:b/>
          <w:sz w:val="22"/>
          <w:szCs w:val="22"/>
        </w:rPr>
        <w:t xml:space="preserve"> </w:t>
      </w:r>
      <w:r w:rsidR="003779DD" w:rsidRPr="00BC09B3">
        <w:rPr>
          <w:b/>
          <w:sz w:val="22"/>
          <w:szCs w:val="22"/>
        </w:rPr>
        <w:t>имуществ</w:t>
      </w:r>
      <w:r w:rsidR="008B5890" w:rsidRPr="00BC09B3">
        <w:rPr>
          <w:b/>
          <w:sz w:val="22"/>
          <w:szCs w:val="22"/>
        </w:rPr>
        <w:t>а</w:t>
      </w:r>
      <w:r w:rsidR="003779DD" w:rsidRPr="00BC09B3">
        <w:rPr>
          <w:b/>
          <w:sz w:val="22"/>
          <w:szCs w:val="22"/>
        </w:rPr>
        <w:t xml:space="preserve"> </w:t>
      </w:r>
      <w:r w:rsidR="005064A4">
        <w:rPr>
          <w:b/>
          <w:sz w:val="22"/>
          <w:szCs w:val="22"/>
        </w:rPr>
        <w:t>ООО «КОН</w:t>
      </w:r>
      <w:r w:rsidR="00995635" w:rsidRPr="00BC09B3">
        <w:rPr>
          <w:b/>
          <w:sz w:val="22"/>
          <w:szCs w:val="22"/>
        </w:rPr>
        <w:t>»</w:t>
      </w:r>
      <w:r w:rsidR="00E40425" w:rsidRPr="00BC09B3">
        <w:rPr>
          <w:b/>
          <w:sz w:val="22"/>
          <w:szCs w:val="22"/>
        </w:rPr>
        <w:t>, без НДС</w:t>
      </w:r>
      <w:r w:rsidRPr="00BC09B3">
        <w:rPr>
          <w:b/>
          <w:sz w:val="22"/>
          <w:szCs w:val="22"/>
        </w:rPr>
        <w:t>».</w:t>
      </w:r>
    </w:p>
    <w:p w14:paraId="21221E49" w14:textId="77777777" w:rsidR="0052247E" w:rsidRPr="00BC09B3" w:rsidRDefault="00BC09B3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C09B3">
        <w:rPr>
          <w:rFonts w:eastAsia="Calibri"/>
          <w:sz w:val="22"/>
          <w:szCs w:val="22"/>
        </w:rPr>
        <w:t xml:space="preserve">Задаток вносится не позднее даты и времени окончания приема заявок </w:t>
      </w:r>
      <w:r w:rsidR="0051760A">
        <w:rPr>
          <w:rFonts w:eastAsia="Calibri"/>
          <w:sz w:val="22"/>
          <w:szCs w:val="22"/>
        </w:rPr>
        <w:t>на участие в торгах</w:t>
      </w:r>
      <w:r w:rsidRPr="00BC09B3">
        <w:rPr>
          <w:rFonts w:eastAsia="Calibri"/>
          <w:sz w:val="22"/>
          <w:szCs w:val="22"/>
        </w:rPr>
        <w:t xml:space="preserve">. </w:t>
      </w:r>
      <w:r w:rsidR="00C05D98" w:rsidRPr="00BC09B3">
        <w:rPr>
          <w:sz w:val="22"/>
          <w:szCs w:val="22"/>
        </w:rPr>
        <w:t>Д</w:t>
      </w:r>
      <w:r w:rsidR="009177CF" w:rsidRPr="00BC09B3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>
        <w:rPr>
          <w:sz w:val="22"/>
          <w:szCs w:val="22"/>
        </w:rPr>
        <w:t>, указанный в п.2.1 настоящего Договора</w:t>
      </w:r>
      <w:r w:rsidR="009177CF" w:rsidRPr="00BC09B3">
        <w:rPr>
          <w:sz w:val="22"/>
          <w:szCs w:val="22"/>
        </w:rPr>
        <w:t>.</w:t>
      </w:r>
      <w:r w:rsidR="0052247E" w:rsidRPr="00BC09B3">
        <w:rPr>
          <w:sz w:val="22"/>
          <w:szCs w:val="22"/>
        </w:rPr>
        <w:t xml:space="preserve"> </w:t>
      </w:r>
    </w:p>
    <w:p w14:paraId="34F0966F" w14:textId="77777777"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C09B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</w:t>
      </w:r>
      <w:r w:rsidRPr="009177CF">
        <w:rPr>
          <w:sz w:val="22"/>
          <w:szCs w:val="22"/>
        </w:rPr>
        <w:t xml:space="preserve"> по внесению задатка считаются невыполненными. В этом случае Претендент к участию в торгах не допускается.</w:t>
      </w:r>
    </w:p>
    <w:p w14:paraId="0CC7F7D8" w14:textId="77777777"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14:paraId="6E7BD2F0" w14:textId="77777777" w:rsidR="0052247E" w:rsidRPr="009177CF" w:rsidRDefault="0052247E" w:rsidP="0052247E">
      <w:pPr>
        <w:jc w:val="both"/>
        <w:rPr>
          <w:sz w:val="22"/>
          <w:szCs w:val="22"/>
        </w:rPr>
      </w:pPr>
    </w:p>
    <w:p w14:paraId="1F58273E" w14:textId="77777777"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14:paraId="13E6384A" w14:textId="77777777" w:rsidR="0052247E" w:rsidRPr="009177CF" w:rsidRDefault="0052247E" w:rsidP="0052247E">
      <w:pPr>
        <w:jc w:val="center"/>
        <w:rPr>
          <w:sz w:val="22"/>
          <w:szCs w:val="22"/>
        </w:rPr>
      </w:pPr>
    </w:p>
    <w:p w14:paraId="58EC1F91" w14:textId="56631979" w:rsidR="0052247E" w:rsidRPr="000270B2" w:rsidRDefault="0052247E" w:rsidP="000270B2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  <w:r w:rsidR="000270B2">
        <w:rPr>
          <w:sz w:val="22"/>
          <w:szCs w:val="22"/>
        </w:rPr>
        <w:t xml:space="preserve"> </w:t>
      </w:r>
      <w:proofErr w:type="gramStart"/>
      <w:r w:rsidR="000270B2" w:rsidRPr="000270B2">
        <w:rPr>
          <w:sz w:val="22"/>
          <w:szCs w:val="22"/>
        </w:rPr>
        <w:t>При возврате задатка участника торгов,</w:t>
      </w:r>
      <w:proofErr w:type="gramEnd"/>
      <w:r w:rsidR="000270B2" w:rsidRPr="000270B2">
        <w:rPr>
          <w:sz w:val="22"/>
          <w:szCs w:val="22"/>
        </w:rPr>
        <w:t xml:space="preserve"> сумма задатка возвращается участнику за вычетом комиссии банка за перевод согласно тарифам банка, опубликованном на официальном интернет-сайте банка.</w:t>
      </w:r>
      <w:r w:rsidR="000270B2">
        <w:rPr>
          <w:sz w:val="22"/>
          <w:szCs w:val="22"/>
        </w:rPr>
        <w:t xml:space="preserve"> </w:t>
      </w:r>
      <w:r w:rsidRPr="000270B2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7583F1F7" w14:textId="77777777"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</w:t>
      </w:r>
      <w:r w:rsidR="006F1E41">
        <w:rPr>
          <w:sz w:val="22"/>
          <w:szCs w:val="22"/>
        </w:rPr>
        <w:t>предоставил Организатору торгов информацию о реквизитах для возврата задатка или не про</w:t>
      </w:r>
      <w:r w:rsidRPr="009177CF">
        <w:rPr>
          <w:sz w:val="22"/>
          <w:szCs w:val="22"/>
        </w:rPr>
        <w:t>информировал Организатора торгов об изменении своих банковских реквизитов.</w:t>
      </w:r>
    </w:p>
    <w:p w14:paraId="61E67DF9" w14:textId="77777777"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627BB35D" w14:textId="77777777"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E9CE4EE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240758C0" w14:textId="77777777"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14:paraId="48E492DE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03E335AE" w14:textId="77777777" w:rsidR="0052247E" w:rsidRPr="00EB0ED8" w:rsidRDefault="00BC09B3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</w:t>
      </w:r>
      <w:r w:rsidR="0052247E" w:rsidRPr="00EB0ED8">
        <w:rPr>
          <w:sz w:val="22"/>
          <w:szCs w:val="22"/>
        </w:rPr>
        <w:t>.</w:t>
      </w:r>
    </w:p>
    <w:p w14:paraId="3E8EFE52" w14:textId="77777777"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0EBF6CC7" w14:textId="77777777"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0BCD1BA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46C6B8B1" w14:textId="77777777"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14:paraId="50A83C43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611CA7A3" w14:textId="77777777"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14:paraId="2357F521" w14:textId="77777777"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14:paraId="3EA0B341" w14:textId="77777777" w:rsidTr="00A46239">
        <w:tc>
          <w:tcPr>
            <w:tcW w:w="4608" w:type="dxa"/>
          </w:tcPr>
          <w:p w14:paraId="0063AF76" w14:textId="77777777"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14:paraId="0B4EE563" w14:textId="77777777"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proofErr w:type="gramStart"/>
            <w:r>
              <w:rPr>
                <w:sz w:val="20"/>
                <w:szCs w:val="20"/>
              </w:rPr>
              <w:t>помещ.IV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ком.74, </w:t>
            </w:r>
          </w:p>
          <w:p w14:paraId="6CC2BE30" w14:textId="77777777"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ОГРН 1217700154682</w:t>
            </w:r>
            <w:r>
              <w:rPr>
                <w:sz w:val="20"/>
                <w:szCs w:val="20"/>
              </w:rPr>
              <w:t>, ИНН 7726475550</w:t>
            </w:r>
          </w:p>
          <w:p w14:paraId="06071AA3" w14:textId="77777777"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р/с 40702810000770003719 </w:t>
            </w:r>
          </w:p>
          <w:p w14:paraId="59959670" w14:textId="77777777"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в ПАО «БАНК УРАЛСИБ» г. Москва, </w:t>
            </w:r>
          </w:p>
          <w:p w14:paraId="5AB91B81" w14:textId="77777777" w:rsidR="0052247E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>к/с 30101810100000000787, БИК 044525787</w:t>
            </w:r>
          </w:p>
          <w:p w14:paraId="0A611562" w14:textId="77777777" w:rsidR="00BC09B3" w:rsidRPr="009856E9" w:rsidRDefault="00BC09B3" w:rsidP="00BC09B3">
            <w:pPr>
              <w:jc w:val="both"/>
              <w:rPr>
                <w:rFonts w:eastAsia="Calibri"/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  <w:lang w:val="en-US"/>
              </w:rPr>
              <w:t>E</w:t>
            </w:r>
            <w:r w:rsidRPr="009856E9">
              <w:rPr>
                <w:rFonts w:eastAsia="Calibri"/>
                <w:sz w:val="20"/>
                <w:szCs w:val="20"/>
              </w:rPr>
              <w:t>-</w:t>
            </w:r>
            <w:r w:rsidRPr="00545E6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9856E9">
              <w:rPr>
                <w:rFonts w:eastAsia="Calibri"/>
                <w:sz w:val="20"/>
                <w:szCs w:val="20"/>
              </w:rPr>
              <w:t xml:space="preserve">: </w:t>
            </w:r>
            <w:hyperlink r:id="rId5" w:history="1"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info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lexterra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@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gmail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com</w:t>
              </w:r>
            </w:hyperlink>
          </w:p>
          <w:p w14:paraId="497E0B32" w14:textId="77777777" w:rsidR="00BC09B3" w:rsidRPr="00545E6B" w:rsidRDefault="00BC09B3" w:rsidP="00BC09B3">
            <w:pPr>
              <w:jc w:val="both"/>
              <w:rPr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</w:rPr>
              <w:t>Тел. +7 916 914 83 94</w:t>
            </w:r>
          </w:p>
          <w:p w14:paraId="038058A8" w14:textId="77777777" w:rsidR="00BC09B3" w:rsidRPr="00743D36" w:rsidRDefault="00BC09B3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14:paraId="6DD5D030" w14:textId="77777777"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14:paraId="65CF66C3" w14:textId="77777777" w:rsidTr="00A46239">
        <w:trPr>
          <w:trHeight w:val="279"/>
        </w:trPr>
        <w:tc>
          <w:tcPr>
            <w:tcW w:w="4608" w:type="dxa"/>
          </w:tcPr>
          <w:p w14:paraId="36099B28" w14:textId="77777777"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29921F81" w14:textId="77777777"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14:paraId="264D41E8" w14:textId="77777777" w:rsidTr="00A46239">
        <w:trPr>
          <w:trHeight w:val="2860"/>
        </w:trPr>
        <w:tc>
          <w:tcPr>
            <w:tcW w:w="4608" w:type="dxa"/>
          </w:tcPr>
          <w:p w14:paraId="60A62AF1" w14:textId="77777777" w:rsidR="00705E57" w:rsidRPr="00743D36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14:paraId="61CA532A" w14:textId="77777777"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29E55683" w14:textId="77777777"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5E34BAC7" w14:textId="77777777"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27EE404F" w14:textId="77777777"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A25CC45" w14:textId="77777777"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14:paraId="171A6E67" w14:textId="77777777"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6C0A184B" w14:textId="77777777"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A52DBE6" w14:textId="77777777"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7CADAB3" w14:textId="77777777"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34DE30" w14:textId="77777777"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33CDD7D" w14:textId="77777777"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109B63D" w14:textId="77777777"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CA113FC" w14:textId="77777777"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A886B83" w14:textId="77777777"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14:paraId="7E914692" w14:textId="77777777"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14:paraId="2457C9E3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7CE62649" w14:textId="77777777"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14:paraId="3E8A82D6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56E8DD9C" w14:textId="77777777"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2CA2B6C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00F0CCB8" w14:textId="77777777"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270B2"/>
    <w:rsid w:val="0008366F"/>
    <w:rsid w:val="000C3383"/>
    <w:rsid w:val="0028353D"/>
    <w:rsid w:val="003779DD"/>
    <w:rsid w:val="003D2D82"/>
    <w:rsid w:val="004F0D44"/>
    <w:rsid w:val="005064A4"/>
    <w:rsid w:val="0051760A"/>
    <w:rsid w:val="0052247E"/>
    <w:rsid w:val="00582ED6"/>
    <w:rsid w:val="005D6D99"/>
    <w:rsid w:val="006B4B5A"/>
    <w:rsid w:val="006D6701"/>
    <w:rsid w:val="006F1E41"/>
    <w:rsid w:val="00705E57"/>
    <w:rsid w:val="007119C6"/>
    <w:rsid w:val="00743D36"/>
    <w:rsid w:val="007A268C"/>
    <w:rsid w:val="007F301F"/>
    <w:rsid w:val="008B5890"/>
    <w:rsid w:val="00907D18"/>
    <w:rsid w:val="009177CF"/>
    <w:rsid w:val="00936291"/>
    <w:rsid w:val="009856E9"/>
    <w:rsid w:val="00995635"/>
    <w:rsid w:val="009C183D"/>
    <w:rsid w:val="009C5504"/>
    <w:rsid w:val="00A30759"/>
    <w:rsid w:val="00A46239"/>
    <w:rsid w:val="00AA1D6A"/>
    <w:rsid w:val="00AA51C4"/>
    <w:rsid w:val="00AB2A2A"/>
    <w:rsid w:val="00B04204"/>
    <w:rsid w:val="00B04C6C"/>
    <w:rsid w:val="00B129A4"/>
    <w:rsid w:val="00B13654"/>
    <w:rsid w:val="00B53C38"/>
    <w:rsid w:val="00B92241"/>
    <w:rsid w:val="00BA74A4"/>
    <w:rsid w:val="00BA7719"/>
    <w:rsid w:val="00BC09B3"/>
    <w:rsid w:val="00C05D98"/>
    <w:rsid w:val="00C67C27"/>
    <w:rsid w:val="00CB1CA2"/>
    <w:rsid w:val="00CC1614"/>
    <w:rsid w:val="00D550C3"/>
    <w:rsid w:val="00D7574C"/>
    <w:rsid w:val="00E40425"/>
    <w:rsid w:val="00EB0ED8"/>
    <w:rsid w:val="00F43136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CF54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_ _</cp:lastModifiedBy>
  <cp:revision>2</cp:revision>
  <dcterms:created xsi:type="dcterms:W3CDTF">2022-02-19T12:22:00Z</dcterms:created>
  <dcterms:modified xsi:type="dcterms:W3CDTF">2022-02-19T12:22:00Z</dcterms:modified>
</cp:coreProperties>
</file>