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5131–ОТПП/2/31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«4»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31</w:t>
      </w:r>
      <w:r>
        <w:rPr>
          <w:rFonts w:eastAsia="Times New Roman"/>
        </w:rPr>
        <w:t>: FD-30 ASW Вилочный погрузчик;
АП-40814 Вилочный погрузчик;.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419 634.00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30.01.2022 12:00:00 ⇆ 04.02.2022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5131–ОТПП/2/31</w:t>
      </w:r>
      <w:r>
        <w:rPr/>
        <w:t xml:space="preserve"> от </w:t>
      </w:r>
      <w:r>
        <w:rPr>
          <w:u w:val="single"/>
        </w:rPr>
        <w:t>«4» февраля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Левеев Константин Петрович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(ИНН:212800447890)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09:55:16;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Левеев Константин Петрович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30.01.2022 12:00:00 ⇆ 04.02.2022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04.02.2022 09:55:16.026020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Левеев Константин Петрович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Чебоксары ул. М.Павлова дом 22 кв 41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262 000.00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«СТК»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«СТК», ИНН 8905031874, р/сч 40702810500770003617 в ПАО "БАНК УРАЛСИБ" Г. МОСКВА, БИК 044525787, к/сч 30101810100000000787.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