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41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Прицеп роспуск 9383, № шасси (рамы) 5152; 1979 г.в.; гос.№ АА 9905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194 343.33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5072–ОАЗФ/1/41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Бурунова Татьяна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(ИНН:245000369045)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12:10:01;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Бурунова Татьяна Олеговна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Канск ул. Герцена 16-7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