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Автобус специальный НефАЗ-4208-11-13, № шасси (рамы) XTC43114R92361825, модель, № двигателя 740.31-240, № кузова (кабины, прицепа) 2143180; 2009 г.в.; гос.№ М 141 УВ 42; VIN: X1F4208ME90011847..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546 145.00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5072–ОАЗФ/1/30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01:48:22;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Фуров Александр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(ИНН:511700840409)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23:59:04;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12:00:34;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Аббод хамид Аббод -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(ИНН:246608186992)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16:33:40;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588 451.87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558 000.00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Бурунова Татьяна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Канск ул. Герцена 16-7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Фуров Александр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Мурманская область город Апатиты улица Фестивальная дом 2 квартира 66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588 451.87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