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5066–ОАОФ/1/1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Полуприцеп-цистерна 96226-0000010-05, VIN (X90962265F0005226); Автотопливозаправщик УСТ 54537Z, VIN (Z0V54537ZF0000067).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3 199 000.00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09:15:32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09:15:32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