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5057–ОАОФ/2/7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ПО ЛОТУ № 7 НЕСОСТОЯВШИМИСЯ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«21»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КАМАЗ-53212 2008 г.в. VIN XTC53212A82328701 грузовой бортовой г/н Р829КР67.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786 791.00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2713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6" w:name="_Hlk37884187"/>
      <w:r>
        <w:rPr>
          <w:b/>
          <w:bCs/>
        </w:rPr>
        <w:t>Дата и время проведения торгов в электронной форме</w:t>
      </w:r>
      <w:bookmarkEnd w:id="6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«21» декабря 2021г. 12:00:00</w:t>
      </w:r>
      <w:bookmarkStart w:id="7" w:name="_Hlk37883074"/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подведения результатов торгов: «21» декабря 2021г. 13:00:00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5057–ОАОФ/1/7</w:t>
      </w:r>
      <w:r>
        <w:rPr/>
        <w:t xml:space="preserve"> от </w:t>
      </w:r>
      <w:r>
        <w:rPr>
          <w:u w:val="single"/>
        </w:rPr>
        <w:t>«21» декабря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АКЦИОНЕРНОЕ ОБЩЕСТВО "53 АРСЕНАЛ"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(ОГРН:1105249001120)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«17»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16:13:39;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  <w:bookmarkStart w:id="8" w:name="_Hlk37851796"/>
      <w:bookmarkEnd w:id="8"/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6" w:type="dxa"/>
        </w:tblCellMar>
        <w:tblLook w:val="04a0" w:noHBand="0" w:noVBand="1" w:firstColumn="1" w:lastRow="0" w:lastColumn="0" w:firstRow="1"/>
      </w:tblPr>
      <w:tblGrid>
        <w:gridCol w:w="4106"/>
        <w:gridCol w:w="2173"/>
        <w:gridCol w:w="2792"/>
      </w:tblGrid>
      <w:tr>
        <w:trPr/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>
        <w:trPr/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 АКЦИОНЕРНОЕ ОБЩЕСТВО "53 АРСЕНАЛ"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</w:rPr>
              <w:t>786 791.00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</w:rPr>
              <w:t>21.12.2021 12:29:50.725546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к участию в торгах был допущен только один участник, организатором торгов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предприятия может быть заключен арбитражным управляющим с этим участником торгов в соответствии с представленным им предложением о цене предприятия.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В течение пяти дней с даты подписания протокола о результатах проведения торгов конкурсный управляющий АО «79 ЦИБ»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Лицо, выигравшее торги, обязано выплатить полную сумму за приобретенный лот, не позднее тридцати дней со дня подписания договора купли-продажи, за вычетом суммы задатка, если иное не предусматривается протоколом о результатах торгов по реквизитам: АО «79 ЦИБ» ИНН: 6729018991; КПП 672901001,  р/сч 40702810823250000714 в ФИЛИАЛ БАНКА ВТБ (ПАО) в г. Воронеже, БИК 042007835,к/сч 30101810100000000835.</w:t>
      </w:r>
      <w:bookmarkStart w:id="11" w:name="_Hlk38152492"/>
      <w:bookmarkEnd w:id="11"/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"/>
        <w:spacing w:lineRule="auto" w:line="264" w:before="0" w:after="12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64" w:beforeAutospacing="0" w:before="120" w:afterAutospacing="0" w:after="12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26D5A5E">
              <wp:simplePos x="0" y="0"/>
              <wp:positionH relativeFrom="column">
                <wp:posOffset>-1077595</wp:posOffset>
              </wp:positionH>
              <wp:positionV relativeFrom="paragraph">
                <wp:posOffset>-447040</wp:posOffset>
              </wp:positionV>
              <wp:extent cx="7564120" cy="1069594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3600" cy="106952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85pt;margin-top:-35.2pt;width:595.5pt;height:842.1pt" wp14:anchorId="526D5A5E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F0D8-47FB-4184-A18D-2637CFB6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Application>LibreOffice/6.4.6.2$Linux_X86_64 LibreOffice_project/40$Build-2</Application>
  <Pages>2</Pages>
  <Words>319</Words>
  <Characters>2465</Characters>
  <CharactersWithSpaces>2740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2020-10-20T14:54:47Z</dcterms:modified>
  <cp:revision>54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