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5057–ОАОФ/2/5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5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НЕФАЗ-8332-1001 2006 г.в. № шасси/рамы X1F8332B060003953 г/н АВ528467.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384 024.00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«21»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