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5057–ОАОФ/1/3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3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ЭКСКАВАТОР – ЭОВ 4423 1985 г.в. № шасси/рамы 538817 г/н Х873МА67.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535 028.00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