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5023–ОАОФ/2/1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5023-ОАОФ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права требования к ООО ФСК "КНАИС", ОГРН: 1147746503410, ИНН: 7725828404, 115191, г.Москва, ул. Рощинская 2-я, д. 4, оф. 503 в размере 30368783,55 руб. на основании Определения Арбитражного суда г. Москвы от 07.10.2019 г. по делу №А40-153718/17, права требования к ООО СМК "КНАИС", ОГРН: 1157746892489, ИНН: 9717002390, 129226, г. Москва, пр. Мира, д. 131, ЭТ/ПОМ/КОМ 1/III/2 Р.М.№18 в размере 4 910 000,00 руб. на основании Определения Арбитражного суда г. Москвы от 11.10.2019 г. по делу №А40-153718/17, права требования к ЗАО "КНАИС ГРУПП", ОГРН: 1097746718860, ИНН: 7723737374, 115088, г. Москва, ул. Шарикоподшипниковская, 11, стр. 7 в размере 6 879 679,96 руб. на основании Решения Арбитражного суда г. Москвы от 09.08.2019г. по делу №А40-85212/19; права требования к ООО  ФСК "КНАИС", ОГРН: 1147746503410, ИНН: 7725828404, 115191, г. Москва, ул. Рощинская 2-я, д. 4, оф. 503 в размере 162 082 117,59 руб., на основании Определения Арбитражного суда г. Москвы от 29.10.2019 года по делу № А40-85212/19; права требования к ООО "ТД "ОЛМА", ОГРН: 1155024006763, ИНН: 5024157585, 143430, Московская обл., г. Красногорск, рп. Нахабино, ул. Советская, д. 73а в размере 16 500 000,00 руб. на основании Решения Арбитражного суда г. Москвы от 20.09.2019 г. по Делу № А40-192030/19-34-1541..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198 666 522.99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А40-153718/17.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ООО "КНАИС ГРУПП".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Кочетков Сергей Сергеевич.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"ФИНАНСОВО-КОНСУЛЬТАЦИОННОЕ АГЕНТСТВО".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«02»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«11» ноября 2021г. 23:59:00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«15» ноября 2021г. 11:00:00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«15» ноября 2021г. 14:00:00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"ФИНАНСОВО-КОНСУЛЬТАЦИОННОЕ АГЕНТСТВО")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Попова Оксана Вячеславовна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