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3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 ответственностью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 – ООО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E17E0D" w:rsidRP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Арбитражного суда Алтайского края от 01.07.2015 по делу А03-6010/2015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10.02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ПРОДАВЕЦ (ЦЕДЕНТ), с одной стороны, </w:t>
      </w:r>
      <w:proofErr w:type="gramEnd"/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2.06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ООО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дебиторской задолженности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ООО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 передать на возмездной основе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ООО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</w:t>
      </w:r>
      <w:proofErr w:type="gram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Любава</w:t>
      </w:r>
      <w:proofErr w:type="spellEnd"/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</w:t>
      </w:r>
      <w:r w:rsidR="007E1A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ЦЕССИОНАРИЮ в течение 10 дней после полной оплаты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E17E0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ООО «</w:t>
            </w:r>
            <w:proofErr w:type="spellStart"/>
            <w:r>
              <w:rPr>
                <w:lang w:val="ru-RU"/>
              </w:rPr>
              <w:t>Любава</w:t>
            </w:r>
            <w:proofErr w:type="spellEnd"/>
            <w:r w:rsidR="00DF098D" w:rsidRPr="0070277B">
              <w:rPr>
                <w:lang w:val="ru-RU"/>
              </w:rPr>
              <w:t>»</w:t>
            </w:r>
          </w:p>
          <w:p w:rsidR="00E17E0D" w:rsidRDefault="00E17E0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ИНН 2221059743</w:t>
            </w:r>
          </w:p>
          <w:p w:rsidR="00E17E0D" w:rsidRDefault="00E17E0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ОГРН1032201879071</w:t>
            </w:r>
          </w:p>
          <w:p w:rsidR="00DF098D" w:rsidRDefault="00E17E0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юридический</w:t>
            </w:r>
            <w:r w:rsidRPr="00E17E0D">
              <w:rPr>
                <w:lang w:val="ru-RU"/>
              </w:rPr>
              <w:t xml:space="preserve"> адрес: 656049, Алтайский край, </w:t>
            </w:r>
            <w:proofErr w:type="gramStart"/>
            <w:r w:rsidRPr="00E17E0D">
              <w:rPr>
                <w:lang w:val="ru-RU"/>
              </w:rPr>
              <w:t>г</w:t>
            </w:r>
            <w:proofErr w:type="gramEnd"/>
            <w:r w:rsidRPr="00E17E0D">
              <w:rPr>
                <w:lang w:val="ru-RU"/>
              </w:rPr>
              <w:t xml:space="preserve">. Барнаул, ул. </w:t>
            </w:r>
            <w:proofErr w:type="spellStart"/>
            <w:r w:rsidRPr="00E17E0D">
              <w:rPr>
                <w:lang w:val="ru-RU"/>
              </w:rPr>
              <w:t>Папанинцев</w:t>
            </w:r>
            <w:proofErr w:type="spellEnd"/>
            <w:r w:rsidRPr="00E17E0D">
              <w:rPr>
                <w:lang w:val="ru-RU"/>
              </w:rPr>
              <w:t>, 111, H42</w:t>
            </w:r>
          </w:p>
          <w:p w:rsidR="00E17E0D" w:rsidRDefault="00E17E0D" w:rsidP="003E5DD6">
            <w:pPr>
              <w:pStyle w:val="Standard"/>
              <w:rPr>
                <w:lang w:val="ru-RU"/>
              </w:rPr>
            </w:pPr>
            <w:r w:rsidRPr="00E17E0D">
              <w:rPr>
                <w:lang w:val="ru-RU"/>
              </w:rPr>
              <w:t xml:space="preserve">Алтайское отделение №8644 ПАО "Сбербанк России" </w:t>
            </w:r>
            <w:proofErr w:type="gramStart"/>
            <w:r w:rsidRPr="00E17E0D">
              <w:rPr>
                <w:lang w:val="ru-RU"/>
              </w:rPr>
              <w:t>г</w:t>
            </w:r>
            <w:proofErr w:type="gramEnd"/>
            <w:r w:rsidRPr="00E17E0D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Расчетный </w:t>
            </w:r>
            <w:r w:rsidR="0076069D">
              <w:rPr>
                <w:lang w:val="ru-RU"/>
              </w:rPr>
              <w:t xml:space="preserve">счет № </w:t>
            </w:r>
            <w:r w:rsidR="00E17E0D" w:rsidRPr="00E17E0D">
              <w:rPr>
                <w:lang w:val="ru-RU"/>
              </w:rPr>
              <w:t>40702810102000013452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</w:t>
            </w:r>
            <w:r w:rsidR="008C7B76">
              <w:rPr>
                <w:lang w:val="ru-RU"/>
              </w:rPr>
              <w:t xml:space="preserve"> счет № </w:t>
            </w:r>
            <w:r w:rsidR="00E17E0D" w:rsidRPr="00E17E0D">
              <w:rPr>
                <w:lang w:val="ru-RU"/>
              </w:rPr>
              <w:t>30101810200000000604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БИК </w:t>
            </w:r>
            <w:r w:rsidR="00E17E0D" w:rsidRPr="00E17E0D">
              <w:rPr>
                <w:lang w:val="ru-RU"/>
              </w:rPr>
              <w:t>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7E1A08" w:rsidRDefault="000956B5" w:rsidP="00001DFE">
            <w:pPr>
              <w:pStyle w:val="Standard"/>
              <w:rPr>
                <w:lang w:val="ru-RU"/>
              </w:rPr>
            </w:pPr>
            <w:r w:rsidRPr="007E1A08">
              <w:rPr>
                <w:lang w:val="ru-RU"/>
              </w:rPr>
              <w:t xml:space="preserve">101000, г. Москва, Потаповский переулок, </w:t>
            </w:r>
          </w:p>
          <w:p w:rsidR="00001DFE" w:rsidRPr="0070277B" w:rsidRDefault="000956B5" w:rsidP="00001DFE">
            <w:pPr>
              <w:pStyle w:val="Standard"/>
              <w:rPr>
                <w:lang w:val="ru-RU"/>
              </w:rPr>
            </w:pPr>
            <w:r w:rsidRPr="007E1A08">
              <w:rPr>
                <w:lang w:val="ru-RU"/>
              </w:rPr>
              <w:t>д. 5, стр. 4, а/я 820</w:t>
            </w:r>
            <w:r w:rsidR="00001DFE" w:rsidRPr="00001DFE">
              <w:rPr>
                <w:lang w:val="ru-RU"/>
              </w:rPr>
              <w:t>)</w:t>
            </w:r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73E1E"/>
    <w:rsid w:val="00081DAA"/>
    <w:rsid w:val="000956B5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6069D"/>
    <w:rsid w:val="00776459"/>
    <w:rsid w:val="00776C30"/>
    <w:rsid w:val="00780F8A"/>
    <w:rsid w:val="00787D8E"/>
    <w:rsid w:val="007C53F8"/>
    <w:rsid w:val="007D27D2"/>
    <w:rsid w:val="007E1A08"/>
    <w:rsid w:val="007F41D4"/>
    <w:rsid w:val="008140A4"/>
    <w:rsid w:val="00827032"/>
    <w:rsid w:val="00856AAF"/>
    <w:rsid w:val="008A7A31"/>
    <w:rsid w:val="008B1E58"/>
    <w:rsid w:val="008C3B82"/>
    <w:rsid w:val="008C7B76"/>
    <w:rsid w:val="00937C60"/>
    <w:rsid w:val="00981097"/>
    <w:rsid w:val="00982870"/>
    <w:rsid w:val="009D08C9"/>
    <w:rsid w:val="009D45E3"/>
    <w:rsid w:val="009E7F07"/>
    <w:rsid w:val="00A26084"/>
    <w:rsid w:val="00A96806"/>
    <w:rsid w:val="00AB6EB4"/>
    <w:rsid w:val="00AC333A"/>
    <w:rsid w:val="00AE2667"/>
    <w:rsid w:val="00AF4077"/>
    <w:rsid w:val="00B04AB5"/>
    <w:rsid w:val="00B50F4E"/>
    <w:rsid w:val="00B5482D"/>
    <w:rsid w:val="00B64D6B"/>
    <w:rsid w:val="00B87CFD"/>
    <w:rsid w:val="00BA2B7B"/>
    <w:rsid w:val="00BA70BF"/>
    <w:rsid w:val="00BB034D"/>
    <w:rsid w:val="00BC0ABB"/>
    <w:rsid w:val="00BF46DC"/>
    <w:rsid w:val="00BF578F"/>
    <w:rsid w:val="00C4125E"/>
    <w:rsid w:val="00C4302E"/>
    <w:rsid w:val="00C61490"/>
    <w:rsid w:val="00CB4007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17E0D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72232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2</cp:revision>
  <dcterms:created xsi:type="dcterms:W3CDTF">2017-08-30T09:18:00Z</dcterms:created>
  <dcterms:modified xsi:type="dcterms:W3CDTF">2017-08-30T09:18:00Z</dcterms:modified>
</cp:coreProperties>
</file>