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 w:rsidR="00CF5033">
        <w:rPr>
          <w:sz w:val="22"/>
          <w:szCs w:val="22"/>
        </w:rPr>
        <w:t>9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B8039F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3E7262">
        <w:rPr>
          <w:b/>
          <w:sz w:val="22"/>
          <w:szCs w:val="22"/>
        </w:rPr>
        <w:t>ООО</w:t>
      </w:r>
      <w:r>
        <w:rPr>
          <w:sz w:val="22"/>
          <w:szCs w:val="22"/>
        </w:rPr>
        <w:t xml:space="preserve"> </w:t>
      </w:r>
      <w:r w:rsidRPr="003E7262">
        <w:rPr>
          <w:b/>
          <w:sz w:val="22"/>
          <w:szCs w:val="22"/>
        </w:rPr>
        <w:t>«</w:t>
      </w:r>
      <w:proofErr w:type="spellStart"/>
      <w:r w:rsidRPr="003E7262">
        <w:rPr>
          <w:b/>
          <w:sz w:val="22"/>
          <w:szCs w:val="22"/>
        </w:rPr>
        <w:t>Салпа</w:t>
      </w:r>
      <w:proofErr w:type="spellEnd"/>
      <w:r w:rsidRPr="003E7262">
        <w:rPr>
          <w:b/>
          <w:sz w:val="22"/>
          <w:szCs w:val="22"/>
        </w:rPr>
        <w:t xml:space="preserve">» </w:t>
      </w:r>
      <w:r w:rsidRPr="003E7262">
        <w:rPr>
          <w:sz w:val="22"/>
          <w:szCs w:val="22"/>
        </w:rPr>
        <w:t>(юридический адрес: 115035, г. Москва, ул. Пятницкая, д. 6/1, стр. 8, пом. 1 комната 12, ИНН 7730636465, ОГРН 5107746040617</w:t>
      </w:r>
      <w:r>
        <w:rPr>
          <w:sz w:val="22"/>
          <w:szCs w:val="22"/>
        </w:rPr>
        <w:t>)</w:t>
      </w:r>
      <w:r w:rsidRPr="003E7262">
        <w:rPr>
          <w:sz w:val="22"/>
          <w:szCs w:val="22"/>
        </w:rPr>
        <w:t>,</w:t>
      </w:r>
      <w:r w:rsidRPr="003E7262">
        <w:rPr>
          <w:bCs/>
          <w:iCs/>
          <w:sz w:val="22"/>
          <w:szCs w:val="22"/>
        </w:rPr>
        <w:t xml:space="preserve"> </w:t>
      </w:r>
      <w:r w:rsidRPr="003E7262">
        <w:rPr>
          <w:sz w:val="22"/>
          <w:szCs w:val="22"/>
        </w:rPr>
        <w:t xml:space="preserve">в лице конкурсного управляющего </w:t>
      </w:r>
      <w:proofErr w:type="spellStart"/>
      <w:r w:rsidRPr="006572E9">
        <w:rPr>
          <w:b/>
          <w:sz w:val="22"/>
          <w:szCs w:val="22"/>
        </w:rPr>
        <w:t>Кызласовой</w:t>
      </w:r>
      <w:proofErr w:type="spellEnd"/>
      <w:r w:rsidRPr="006572E9">
        <w:rPr>
          <w:b/>
          <w:sz w:val="22"/>
          <w:szCs w:val="22"/>
        </w:rPr>
        <w:t xml:space="preserve"> Юлии Владимировной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действующей на основании</w:t>
      </w:r>
      <w:r w:rsidRPr="007D28CB">
        <w:rPr>
          <w:sz w:val="22"/>
          <w:szCs w:val="22"/>
        </w:rPr>
        <w:t xml:space="preserve"> </w:t>
      </w:r>
      <w:r w:rsidRPr="001C1C6C">
        <w:rPr>
          <w:sz w:val="22"/>
          <w:szCs w:val="22"/>
        </w:rPr>
        <w:t xml:space="preserve">Решения Арбитражного суда </w:t>
      </w:r>
      <w:r w:rsidRPr="003E7262">
        <w:rPr>
          <w:sz w:val="22"/>
          <w:szCs w:val="22"/>
        </w:rPr>
        <w:t>города Москвы от 05.06.2018 г. по делу № А40-216249/2016</w:t>
      </w:r>
      <w:r w:rsidR="00206097">
        <w:rPr>
          <w:sz w:val="22"/>
          <w:szCs w:val="22"/>
        </w:rPr>
        <w:t>, именуем</w:t>
      </w:r>
      <w:r>
        <w:rPr>
          <w:sz w:val="22"/>
          <w:szCs w:val="22"/>
        </w:rPr>
        <w:t>ое</w:t>
      </w:r>
      <w:r w:rsidR="00206097" w:rsidRPr="00DE10AC">
        <w:rPr>
          <w:sz w:val="22"/>
          <w:szCs w:val="22"/>
        </w:rPr>
        <w:t xml:space="preserve"> 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DE10AC">
        <w:rPr>
          <w:sz w:val="22"/>
          <w:szCs w:val="22"/>
        </w:rPr>
        <w:t xml:space="preserve">о </w:t>
      </w:r>
      <w:r w:rsidR="00B8039F">
        <w:rPr>
          <w:sz w:val="22"/>
          <w:szCs w:val="22"/>
        </w:rPr>
        <w:t>ООО</w:t>
      </w:r>
      <w:proofErr w:type="gramEnd"/>
      <w:r w:rsidR="00B8039F">
        <w:rPr>
          <w:sz w:val="22"/>
          <w:szCs w:val="22"/>
        </w:rPr>
        <w:t xml:space="preserve"> «</w:t>
      </w:r>
      <w:proofErr w:type="spellStart"/>
      <w:r w:rsidR="00B8039F">
        <w:rPr>
          <w:sz w:val="22"/>
          <w:szCs w:val="22"/>
        </w:rPr>
        <w:t>Салпа</w:t>
      </w:r>
      <w:proofErr w:type="spellEnd"/>
      <w:r w:rsidR="00B8039F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B8039F" w:rsidRPr="00B8039F">
        <w:rPr>
          <w:rFonts w:ascii="Times New Roman" w:hAnsi="Times New Roman" w:cs="Times New Roman"/>
        </w:rPr>
        <w:t>ООО «</w:t>
      </w:r>
      <w:proofErr w:type="spellStart"/>
      <w:r w:rsidR="00B8039F" w:rsidRPr="00B8039F">
        <w:rPr>
          <w:rFonts w:ascii="Times New Roman" w:hAnsi="Times New Roman" w:cs="Times New Roman"/>
        </w:rPr>
        <w:t>Салпа</w:t>
      </w:r>
      <w:proofErr w:type="spellEnd"/>
      <w:r w:rsidR="00B8039F" w:rsidRPr="00B8039F">
        <w:rPr>
          <w:rFonts w:ascii="Times New Roman" w:hAnsi="Times New Roman" w:cs="Times New Roman"/>
        </w:rPr>
        <w:t>» (юридический адрес: 115035, г. Москва, ул. Пятницкая, д. 6/1, стр. 8, пом. 1 комната 12, ИНН 7730636465, ОГРН 5107746040617)</w:t>
      </w:r>
      <w:r w:rsidRPr="00206097">
        <w:rPr>
          <w:rFonts w:ascii="Times New Roman" w:hAnsi="Times New Roman" w:cs="Times New Roman"/>
        </w:rPr>
        <w:t>,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DE10AC" w:rsidTr="00E01480">
        <w:trPr>
          <w:trHeight w:val="2249"/>
        </w:trPr>
        <w:tc>
          <w:tcPr>
            <w:tcW w:w="5118" w:type="dxa"/>
          </w:tcPr>
          <w:p w:rsidR="00E01480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CF5033" w:rsidRDefault="00CF5033" w:rsidP="00FF11C7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>ООО «</w:t>
            </w:r>
            <w:proofErr w:type="spellStart"/>
            <w:r w:rsidRPr="00CF5033">
              <w:rPr>
                <w:bCs/>
                <w:sz w:val="22"/>
                <w:szCs w:val="22"/>
              </w:rPr>
              <w:t>Салпа</w:t>
            </w:r>
            <w:proofErr w:type="spellEnd"/>
            <w:r w:rsidRPr="00CF5033">
              <w:rPr>
                <w:bCs/>
                <w:sz w:val="22"/>
                <w:szCs w:val="22"/>
              </w:rPr>
              <w:t xml:space="preserve">» </w:t>
            </w:r>
          </w:p>
          <w:p w:rsidR="00CF5033" w:rsidRDefault="00CF5033" w:rsidP="00FF11C7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 xml:space="preserve">ИНН 7730636465 </w:t>
            </w:r>
          </w:p>
          <w:p w:rsidR="00CF5033" w:rsidRDefault="00CF5033" w:rsidP="00CF5033">
            <w:pPr>
              <w:rPr>
                <w:bCs/>
                <w:sz w:val="22"/>
                <w:szCs w:val="22"/>
              </w:rPr>
            </w:pPr>
            <w:proofErr w:type="gramStart"/>
            <w:r w:rsidRPr="00CF5033">
              <w:rPr>
                <w:bCs/>
                <w:sz w:val="22"/>
                <w:szCs w:val="22"/>
              </w:rPr>
              <w:t>р</w:t>
            </w:r>
            <w:proofErr w:type="gramEnd"/>
            <w:r w:rsidRPr="00CF5033">
              <w:rPr>
                <w:bCs/>
                <w:sz w:val="22"/>
                <w:szCs w:val="22"/>
              </w:rPr>
              <w:t>/с 40702810600001100097</w:t>
            </w:r>
          </w:p>
          <w:p w:rsidR="00CF5033" w:rsidRDefault="00CF5033" w:rsidP="00CF5033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CF5033">
              <w:rPr>
                <w:bCs/>
                <w:sz w:val="22"/>
                <w:szCs w:val="22"/>
              </w:rPr>
              <w:t>в КБ «НС БАНК» (АО)</w:t>
            </w:r>
          </w:p>
          <w:p w:rsidR="00CF5033" w:rsidRDefault="00CF5033" w:rsidP="00CF5033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 xml:space="preserve">БИК 044525158 </w:t>
            </w:r>
          </w:p>
          <w:p w:rsidR="00E01480" w:rsidRPr="00DE10AC" w:rsidRDefault="00CF5033" w:rsidP="00CF5033">
            <w:pPr>
              <w:rPr>
                <w:bCs/>
                <w:i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>к/с 30101810945250000158</w:t>
            </w:r>
          </w:p>
        </w:tc>
        <w:tc>
          <w:tcPr>
            <w:tcW w:w="4927" w:type="dxa"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  <w:tr w:rsidR="00E01480" w:rsidRPr="00DE10AC" w:rsidTr="00E01480">
        <w:tc>
          <w:tcPr>
            <w:tcW w:w="5118" w:type="dxa"/>
            <w:hideMark/>
          </w:tcPr>
          <w:p w:rsidR="00E01480" w:rsidRDefault="00CF5033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CF5033" w:rsidRPr="00DE10AC" w:rsidRDefault="00CF5033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Салпа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_____________________/</w:t>
            </w:r>
            <w:proofErr w:type="spellStart"/>
            <w:r w:rsidR="00CF5033">
              <w:rPr>
                <w:b/>
                <w:sz w:val="22"/>
                <w:szCs w:val="22"/>
              </w:rPr>
              <w:t>Кызласова</w:t>
            </w:r>
            <w:proofErr w:type="spellEnd"/>
            <w:r w:rsidR="00CF5033">
              <w:rPr>
                <w:b/>
                <w:sz w:val="22"/>
                <w:szCs w:val="22"/>
              </w:rPr>
              <w:t xml:space="preserve"> Ю. В.</w:t>
            </w:r>
            <w:r w:rsidR="00B803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DE10AC">
              <w:rPr>
                <w:b/>
                <w:sz w:val="22"/>
                <w:szCs w:val="22"/>
              </w:rPr>
              <w:t>м.п</w:t>
            </w:r>
            <w:proofErr w:type="spellEnd"/>
            <w:r w:rsidRPr="00DE10AC">
              <w:rPr>
                <w:b/>
                <w:sz w:val="22"/>
                <w:szCs w:val="22"/>
              </w:rPr>
              <w:t>.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</w:tbl>
    <w:p w:rsidR="00CB585B" w:rsidRPr="00DC5C9E" w:rsidRDefault="00CB585B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CB585B" w:rsidRPr="00DC5C9E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7" w:rsidRDefault="00757E47" w:rsidP="00755B0A">
      <w:r>
        <w:separator/>
      </w:r>
    </w:p>
  </w:endnote>
  <w:endnote w:type="continuationSeparator" w:id="0">
    <w:p w:rsidR="00757E47" w:rsidRDefault="00757E4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7" w:rsidRDefault="00757E47" w:rsidP="00755B0A">
      <w:r>
        <w:separator/>
      </w:r>
    </w:p>
  </w:footnote>
  <w:footnote w:type="continuationSeparator" w:id="0">
    <w:p w:rsidR="00757E47" w:rsidRDefault="00757E4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4</cp:revision>
  <dcterms:created xsi:type="dcterms:W3CDTF">2018-02-28T13:49:00Z</dcterms:created>
  <dcterms:modified xsi:type="dcterms:W3CDTF">2019-04-19T12:08:00Z</dcterms:modified>
</cp:coreProperties>
</file>