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Договор о задатке</w:t>
      </w: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          «___» декабря 2015г.                                                                                                              г. Тверь</w:t>
      </w:r>
    </w:p>
    <w:p>
      <w:pPr>
        <w:jc w:val="both"/>
        <w:pStyle w:val="0"/>
        <w:rPr>
          <w:sz w:val="22"/>
        </w:rPr>
      </w:pPr>
    </w:p>
    <w:p>
      <w:pPr>
        <w:jc w:val="both"/>
        <w:pStyle w:val="0"/>
        <w:rPr>
          <w:sz w:val="22"/>
        </w:rPr>
      </w:pPr>
      <w:r>
        <w:rPr>
          <w:rFonts w:hAnsi="times new roman" w:ascii="times new roman"/>
          <w:color w:val="000000"/>
        </w:rPr>
        <w:t xml:space="preserve">Общество с ограниченной ответственностью "Производственная Компания "ТЕПЛОЭНЕРГОСБЫТ" именуемое в дальнейшем «Продавец», в лице конкурсного управляющего Жирехиной Анжелики Геннадьевны, именуемое в дальнейшем «Организатор», действующего на основании Решения Арбитражного суда Тверской области от 17.10.2011г. по делу №А66-9175/2011,</w:t>
      </w:r>
      <w:r>
        <w:rPr>
          <w:sz w:val="22"/>
        </w:rPr>
        <w:t xml:space="preserve"> с одной стороны, и_________________________________, именуемый  в дальнейшем «Заявитель», действующий на основании__________________________, с другой стороны,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</w:r>
    </w:p>
    <w:p>
      <w:pPr>
        <w:jc w:val="both"/>
        <w:pStyle w:val="0"/>
        <w:rPr>
          <w:sz w:val="22"/>
        </w:rPr>
      </w:pPr>
    </w:p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1. Предмет договора</w:t>
      </w: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</w:rPr>
      </w:pPr>
      <w:r>
        <w:t xml:space="preserve">1.1. Заявитель для участия в открытых торгах в форме аукциона по реализации имущества, лот № 1: Право требования задолженности </w:t>
      </w:r>
      <w:r>
        <w:rPr>
          <w:rFonts w:hAnsi="times new roman" w:ascii="times new roman"/>
          <w:color w:val="000000"/>
        </w:rPr>
        <w:t xml:space="preserve">задолженности к Филиппову Сергею Викторовичу в размере 5 380 934,15 рублей </w:t>
      </w:r>
      <w:r>
        <w:rPr>
          <w:sz w:val="22"/>
        </w:rPr>
        <w:t xml:space="preserve">в безналичном порядке перечисляет, а Организатор принимает на расчетный счет </w:t>
      </w:r>
      <w:r>
        <w:rPr>
          <w:rFonts w:hAnsi="times new roman" w:ascii="times new roman"/>
          <w:color w:val="000000"/>
        </w:rPr>
        <w:t xml:space="preserve">Общества с ограниченной ответственностью "Производственная Компания "ТЕПЛОЭНЕРГОСБЫТ" №40702810100060003375 в ПАО «Торжокуниверсалбанк» г. Торжок, БИК 042809953, кор/сч 30101810928090000953</w:t>
      </w:r>
      <w:r>
        <w:rPr>
          <w:sz w:val="22"/>
        </w:rPr>
        <w:t xml:space="preserve">, задаток в размере 47 500,00</w:t>
      </w:r>
      <w:r>
        <w:rPr>
          <w:sz w:val="22"/>
          <w:color w:val="000000"/>
        </w:rPr>
        <w:t xml:space="preserve"> руб. </w:t>
      </w:r>
      <w:r>
        <w:rPr>
          <w:sz w:val="22"/>
        </w:rPr>
        <w:t xml:space="preserve">(далее - задаток), согласно  Договору поручения.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Задаток вносится Заявителем в качестве обеспечения обязательства по оплате приобретаемого на аукционе имущества.</w:t>
      </w:r>
    </w:p>
    <w:p>
      <w:pPr>
        <w:jc w:val="both"/>
        <w:pStyle w:val="0"/>
        <w:rPr>
          <w:sz w:val="22"/>
        </w:rPr>
      </w:pPr>
    </w:p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2. Порядок внесения задатка</w:t>
      </w: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2.1. Задаток вносится Заявителем на расчетный счет Организатора (далее – счет Организатора), указанный в настоящем Договоре, не позднее даты окончания приема заявок на участие в торгах, и считается внесенным с момента его зачисления на счет Организатора.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Документом, подтверждающим внесение задатка на счет Организатора, является выписка со счета Организатора. В случае если, в указанный срок задаток не поступил на счет Организатора, обязательства Заявителя по внесению задатка считаются неисполненными.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2.2. Заявитель не вправе распоряжаться денежными средствами, поступившими на счет Организатора в качестве задатка.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2.4. Внесенный Заявителем задаток, в случае признания его Победителем аукциона и заключения между ним и Продавцом Договора купли - продажи имущества, перечисляется Организатором на счет Продавца.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2.5. Организатор обязуется возвратить Заявителю сумму задатка в порядке и в случаях, установленных ст. 3 настоящего Договора.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2.6. Возврат средств, в соответствии со ст. 3 настоящего Договора, осуществляется на расчетный счет Заявителя: ___________________________________________________.</w:t>
      </w:r>
    </w:p>
    <w:p>
      <w:pPr>
        <w:jc w:val="center"/>
        <w:pStyle w:val="0"/>
        <w:rPr>
          <w:sz w:val="22"/>
          <w:b w:val="1"/>
        </w:rPr>
      </w:pPr>
    </w:p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 3. Возврат денежных средств</w:t>
      </w: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3.1. В случае если Заявитель не допущен к участию в торгах, Организатор, в течение 5 (пяти) рабочих дней с даты подведения итогов торгов, обязуется перечислить задаток на счет Заявителя. 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3.2. В случае если Заявитель, признанный участником торгов, не признан Победителем торгов, Организатор, в течение 5 (пяти) рабочих дней с даты подведения итогов торгов, обязуется перечислить задаток на счет Заявителя.  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3.3. В случае отзыва Заявителем, в установленном действующим законодательством порядке, заявки на участие в торгах, до признания его участником аукциона, Организатор обязуется, не позднее 5 (пяти) рабочих  дней, с даты получения письменного уведомления Заявителя об отзыве заявки, перечислить сумму задатка на счет Заявителя. Если заявка отозвана Заявителем позднее даты окончания приема заявок, задаток возвращается в порядке, установленном для участников торгов.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3.4. В случае если Заявитель, признанный Победителем торгов, в течение 5 (пяти) календарных дней с даты подведения итогов торгов,  не заключил договор купли - продажи имущества, задаток Заявителю не возвращается. 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3.5. В случае признания торгов несостоявшимся, Организатор обязуется, в течение 5 (пяти) рабочих дней с даты подведения итогов торгов, перечислить задаток на счет Заявителя. </w:t>
      </w:r>
    </w:p>
    <w:p>
      <w:pPr>
        <w:jc w:val="both"/>
        <w:pStyle w:val="0"/>
        <w:rPr>
          <w:sz w:val="22"/>
        </w:rPr>
      </w:pPr>
    </w:p>
    <w:p>
      <w:pPr>
        <w:jc w:val="both"/>
        <w:pStyle w:val="0"/>
        <w:rPr>
          <w:sz w:val="22"/>
        </w:rPr>
      </w:pPr>
    </w:p>
    <w:p>
      <w:pPr>
        <w:jc w:val="both"/>
        <w:pStyle w:val="0"/>
        <w:rPr>
          <w:sz w:val="22"/>
        </w:rPr>
      </w:pPr>
    </w:p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4. Заключительные положения</w:t>
      </w:r>
    </w:p>
    <w:p>
      <w:pPr>
        <w:jc w:val="both"/>
        <w:pStyle w:val="0"/>
        <w:rPr>
          <w:sz w:val="22"/>
          <w:b w:val="1"/>
        </w:rPr>
      </w:pP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4.1.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4.2. Настоящий Договор вступает в силу с момента его подписания и прекращает свое действие: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- исполнением Сторонами своих обязательств по настоящему Договору;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- по иным основаниям, предусмотренным действующим законодательством Российской Федерации.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Тверской области или судов общей юрисдикции в соответствии с действующим законодательством Российской Федерации.</w:t>
      </w:r>
    </w:p>
    <w:p>
      <w:pPr>
        <w:jc w:val="both"/>
        <w:pStyle w:val="0"/>
        <w:rPr>
          <w:sz w:val="22"/>
        </w:rPr>
      </w:pPr>
      <w:r>
        <w:rPr>
          <w:sz w:val="22"/>
        </w:rPr>
        <w:t xml:space="preserve">4.4. Настоящий Договор составлен в двух экземплярах: для Организатора и Заявителя.</w:t>
      </w:r>
    </w:p>
    <w:p>
      <w:pPr>
        <w:jc w:val="both"/>
        <w:pStyle w:val="0"/>
        <w:rPr>
          <w:sz w:val="22"/>
        </w:rPr>
      </w:pPr>
    </w:p>
    <w:p>
      <w:pPr>
        <w:jc w:val="center"/>
        <w:pStyle w:val="0"/>
        <w:rPr>
          <w:sz w:val="22"/>
          <w:b w:val="1"/>
        </w:rPr>
      </w:pPr>
      <w:r>
        <w:rPr>
          <w:sz w:val="22"/>
          <w:b w:val="1"/>
        </w:rPr>
        <w:t xml:space="preserve">5. Реквизиты сторон:</w:t>
      </w:r>
    </w:p>
    <w:p>
      <w:pPr>
        <w:jc w:val="both"/>
        <w:pStyle w:val="0"/>
        <w:rPr>
          <w:sz w:val="22"/>
          <w:b w:val="1"/>
        </w:rPr>
      </w:pPr>
    </w:p>
    <w:tbl>
      <w:tblPr>
        <w:tblCellMar>
          <w:left w:type="dxa" w:w="108"/>
          <w:right w:type="dxa" w:w="108"/>
          <w:top w:type="dxa" w:w="0"/>
          <w:bottom w:type="dxa" w:w="0"/>
        </w:tblCellMar>
        <w:tblW w:type="dxa" w:w="9960"/>
        <w:tblLayout w:type="autofit"/>
        <w:tblInd w:type="dxa" w:w="-108"/>
      </w:tblPr>
      <w:tblGrid>
        <w:gridCol w:w="4980"/>
        <w:gridCol w:w="4980"/>
      </w:tblGrid>
      <w:tr>
        <w:trPr>
          <w:tblCellMar/>
          <w:trHeight w:val="4570" w:hRule="atLeast"/>
        </w:trPr>
        <w:tblPrEx>
          <w:tblCellMar/>
        </w:tblPrEx>
        <w:tc>
          <w:tcPr>
            <w:tcW w:type="dxa" w:w="4980"/>
          </w:tcPr>
          <w:p>
            <w:pPr>
              <w:jc w:val="both"/>
              <w:pStyle w:val="0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Организатор торгов: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Общество </w:t>
            </w:r>
            <w:r>
              <w:rPr>
                <w:rFonts w:hAnsi="times new roman" w:ascii="times new roman"/>
                <w:color w:val="000000"/>
              </w:rPr>
              <w:t xml:space="preserve">с ограниченной ответственностью "Производственная Компания "ТЕПЛОЭНЕРГОСБЫТ" 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Адрес должника: г. Тверь, ул. Светогоровская, д.2 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Адрес конкурсного управляющего должника: 171251, Тверская обл., г. Конаково, пл.Калинина, д.3 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ИНН 6950061789, ОГРН 1076952015557, 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Р/с № №40702810100060003375 в ПАО «Торжокуниверсалбанк» г. Торжок, БИК 042809953, кор/сч 30101810928090000953 </w:t>
            </w:r>
          </w:p>
          <w:p>
            <w:pPr>
              <w:spacing w:before="240" w:after="240"/>
              <w:rPr>
                <w:rFonts w:hAnsi="times new roman" w:ascii="times new roman"/>
                <w:color w:val="000000"/>
              </w:rPr>
            </w:pPr>
            <w:r>
              <w:rPr>
                <w:rFonts w:hAnsi="times new roman" w:ascii="times new roman"/>
                <w:color w:val="000000"/>
              </w:rPr>
              <w:t xml:space="preserve">Конкурсный управляющий ООО "ПК "ТЕПЛОЭНЕРГОСБЫТ" </w:t>
            </w:r>
          </w:p>
          <w:p>
            <w:pPr>
              <w:spacing w:before="240" w:after="240"/>
            </w:pPr>
            <w:r>
              <w:rPr>
                <w:rFonts w:hAnsi="times new roman" w:ascii="times new roman"/>
                <w:color w:val="000000"/>
              </w:rPr>
              <w:t xml:space="preserve">___________________ А.Г. Жирехина</w:t>
            </w:r>
          </w:p>
          <w:p>
            <w:pPr>
              <w:jc w:val="both"/>
              <w:pStyle w:val="0"/>
              <w:rPr>
                <w:sz w:val="22"/>
              </w:rPr>
            </w:pPr>
          </w:p>
          <w:p>
            <w:pPr>
              <w:jc w:val="both"/>
              <w:pStyle w:val="0"/>
              <w:rPr>
                <w:sz w:val="22"/>
                <w:b w:val="1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type="dxa" w:w="4980"/>
          </w:tcPr>
          <w:p>
            <w:pPr>
              <w:jc w:val="both"/>
              <w:pStyle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Заявитель:</w:t>
            </w: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sz w:val="22"/>
                <w:color w:val="000000"/>
              </w:rPr>
            </w:pPr>
          </w:p>
          <w:p>
            <w:pPr>
              <w:jc w:val="both"/>
              <w:pStyle w:val="0"/>
              <w:rPr>
                <w:b w:val="1"/>
              </w:rPr>
            </w:pPr>
            <w:r>
              <w:rPr>
                <w:sz w:val="22"/>
                <w:color w:val="000000"/>
              </w:rPr>
              <w:t>____________________________(______________)</w:t>
            </w:r>
          </w:p>
        </w:tc>
      </w:tr>
    </w:tbl>
    <w:p>
      <w:pPr>
        <w:pStyle w:val="0"/>
        <w:rPr>
          <w:sz w:val="22"/>
        </w:rPr>
      </w:pPr>
    </w:p>
    <w:sectPr>
      <w:pgSz w:w="11907" w:h="16840"/>
      <w:pgMar w:top="1021" w:bottom="1134" w:left="1134" w:right="737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555" w:hanging="555"/>
      </w:pPr>
    </w:lvl>
    <w:lvl w:ilvl="1">
      <w:numFmt w:val="decimal"/>
      <w:lvlText w:val="%1.%2."/>
      <w:start w:val="1"/>
      <w:pPr>
        <w:ind w:left="720" w:hanging="720"/>
      </w:pPr>
    </w:lvl>
    <w:lvl w:ilvl="2">
      <w:numFmt w:val="decimal"/>
      <w:lvlText w:val="%1.%2.%3."/>
      <w:start w:val="1"/>
      <w:pPr>
        <w:ind w:left="720" w:hanging="720"/>
      </w:pPr>
    </w:lvl>
    <w:lvl w:ilvl="3">
      <w:numFmt w:val="decimal"/>
      <w:lvlText w:val="%1.%2.%3.%4."/>
      <w:start w:val="1"/>
      <w:pPr>
        <w:ind w:left="1080" w:hanging="1080"/>
      </w:pPr>
    </w:lvl>
    <w:lvl w:ilvl="4">
      <w:numFmt w:val="decimal"/>
      <w:lvlText w:val="%1.%2.%3.%4.%5."/>
      <w:start w:val="1"/>
      <w:pPr>
        <w:ind w:left="1080" w:hanging="1080"/>
      </w:pPr>
    </w:lvl>
    <w:lvl w:ilvl="5">
      <w:numFmt w:val="decimal"/>
      <w:lvlText w:val="%1.%2.%3.%4.%5.%6."/>
      <w:start w:val="1"/>
      <w:pPr>
        <w:ind w:left="1440" w:hanging="1440"/>
      </w:pPr>
    </w:lvl>
    <w:lvl w:ilvl="6">
      <w:numFmt w:val="decimal"/>
      <w:lvlText w:val="%1.%2.%3.%4.%5.%6.%7."/>
      <w:start w:val="1"/>
      <w:pPr>
        <w:ind w:left="1800" w:hanging="1800"/>
      </w:pPr>
    </w:lvl>
    <w:lvl w:ilvl="7">
      <w:numFmt w:val="decimal"/>
      <w:lvlText w:val="%1.%2.%3.%4.%5.%6.%7.%8."/>
      <w:start w:val="1"/>
      <w:pPr>
        <w:ind w:left="1800" w:hanging="1800"/>
      </w:pPr>
    </w:lvl>
    <w:lvl w:ilvl="8">
      <w:numFmt w:val="decimal"/>
      <w:lvlText w:val="%1.%2.%3.%4.%5.%6.%7.%8.%9."/>
      <w:start w:val="1"/>
      <w:pPr>
        <w:ind w:left="2160" w:hanging="2160"/>
      </w:pPr>
    </w:lvl>
  </w:abstractNum>
  <w:abstractNum w:abstractNumId="2">
    <w:lvl w:ilvl="0">
      <w:numFmt w:val="decimal"/>
      <w:lvlText w:val="%1."/>
      <w:start w:val="1"/>
      <w:pPr>
        <w:ind w:left="495" w:hanging="495"/>
      </w:pPr>
    </w:lvl>
    <w:lvl w:ilvl="1">
      <w:numFmt w:val="decimal"/>
      <w:lvlText w:val="%1.%2."/>
      <w:start w:val="1"/>
      <w:pPr>
        <w:ind w:left="495" w:hanging="495"/>
      </w:pPr>
    </w:lvl>
    <w:lvl w:ilvl="2">
      <w:numFmt w:val="decimal"/>
      <w:lvlText w:val="%1.%2.%3."/>
      <w:start w:val="1"/>
      <w:pPr>
        <w:ind w:left="720" w:hanging="720"/>
      </w:pPr>
    </w:lvl>
    <w:lvl w:ilvl="3">
      <w:numFmt w:val="decimal"/>
      <w:lvlText w:val="%1.%2.%3.%4."/>
      <w:start w:val="1"/>
      <w:pPr>
        <w:ind w:left="720" w:hanging="720"/>
      </w:pPr>
    </w:lvl>
    <w:lvl w:ilvl="4">
      <w:numFmt w:val="decimal"/>
      <w:lvlText w:val="%1.%2.%3.%4.%5."/>
      <w:start w:val="1"/>
      <w:pPr>
        <w:ind w:left="1080" w:hanging="1080"/>
      </w:pPr>
    </w:lvl>
    <w:lvl w:ilvl="5">
      <w:numFmt w:val="decimal"/>
      <w:lvlText w:val="%1.%2.%3.%4.%5.%6."/>
      <w:start w:val="1"/>
      <w:pPr>
        <w:ind w:left="1080" w:hanging="1080"/>
      </w:pPr>
    </w:lvl>
    <w:lvl w:ilvl="6">
      <w:numFmt w:val="decimal"/>
      <w:lvlText w:val="%1.%2.%3.%4.%5.%6.%7."/>
      <w:start w:val="1"/>
      <w:pPr>
        <w:ind w:left="1440" w:hanging="1440"/>
      </w:pPr>
    </w:lvl>
    <w:lvl w:ilvl="7">
      <w:numFmt w:val="decimal"/>
      <w:lvlText w:val="%1.%2.%3.%4.%5.%6.%7.%8."/>
      <w:start w:val="1"/>
      <w:pPr>
        <w:ind w:left="1440" w:hanging="1440"/>
      </w:pPr>
    </w:lvl>
    <w:lvl w:ilvl="8">
      <w:numFmt w:val="decimal"/>
      <w:lvlText w:val="%1.%2.%3.%4.%5.%6.%7.%8.%9."/>
      <w:start w:val="1"/>
      <w:pPr>
        <w:ind w:left="1800" w:hanging="1800"/>
      </w:pPr>
    </w:lvl>
  </w:abstractNum>
  <w:abstractNum w:abstractNumId="3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4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19" w:type="paragraph">
    <w:name w:val="ConsNormal"/>
    <w:pPr>
      <w:ind w:firstLine="720"/>
    </w:pPr>
    <w:rPr>
      <w:rFonts w:hAnsi="Arial" w:ascii="Arial"/>
    </w:rPr>
  </w:style>
  <w:style w:styleId="0" w:type="paragraph">
    <w:name w:val="Обычный"/>
    <w:rPr>
      <w:rFonts w:hAnsi="Times New Roman" w:ascii="Times New Roman"/>
      <w:sz w:val="24"/>
    </w:rPr>
  </w:style>
  <w:style w:styleId="15" w:type="paragraph">
    <w:name w:val="Верхний колонтитул"/>
    <w:rPr>
      <w:rFonts w:hAnsi="Times New Roman" w:ascii="Times New Roman"/>
      <w:sz w:val="24"/>
    </w:rPr>
  </w:style>
  <w:style w:styleId="18" w:type="paragraph">
    <w:name w:val="List Paragraph"/>
    <w:pPr>
      <w:ind w:left="720"/>
    </w:pPr>
    <w:rPr>
      <w:rFonts w:hAnsi="Times New Roman" w:ascii="Times New Roman"/>
      <w:sz w:val="24"/>
    </w:rPr>
  </w:style>
  <w:style w:styleId="20" w:type="paragraph">
    <w:name w:val="Нижний колонтитул"/>
    <w:rPr>
      <w:rFonts w:hAnsi="Times New Roman" w:ascii="Times New Roman"/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Договор о задатке Лот 1 .docx</dc:title>
</cp:coreProperties>
</file>