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4725E1">
        <w:rPr>
          <w:rFonts w:eastAsia="Calibri"/>
        </w:rPr>
        <w:t>Орел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17</w:t>
      </w:r>
      <w:r w:rsidR="00200123" w:rsidRPr="00C4493B">
        <w:t xml:space="preserve"> 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800D6E">
        <w:rPr>
          <w:bCs/>
        </w:rPr>
        <w:t>Павликова</w:t>
      </w:r>
      <w:proofErr w:type="spellEnd"/>
      <w:r w:rsidRPr="00800D6E">
        <w:rPr>
          <w:bCs/>
        </w:rPr>
        <w:t xml:space="preserve"> С.В., действующего на основании Решения Арбитражного суда Московской области по делу № А41-21207/15 от 30.08.2016 г. с одной стороны,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о результатах проведения торгов </w:t>
      </w:r>
      <w:r w:rsidR="00211B24">
        <w:rPr>
          <w:rFonts w:ascii="Times New Roman" w:hAnsi="Times New Roman" w:cs="Times New Roman"/>
          <w:bCs/>
          <w:sz w:val="24"/>
          <w:szCs w:val="24"/>
        </w:rPr>
        <w:t xml:space="preserve">посредством публичного предложения </w:t>
      </w:r>
      <w:bookmarkStart w:id="0" w:name="_GoBack"/>
      <w:bookmarkEnd w:id="0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00D6E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800D6E" w:rsidRDefault="002E4D26" w:rsidP="000503A2">
      <w:pPr>
        <w:pStyle w:val="a4"/>
        <w:ind w:firstLine="540"/>
        <w:rPr>
          <w:szCs w:val="24"/>
        </w:rPr>
      </w:pPr>
      <w:r w:rsidRPr="002E4D26">
        <w:rPr>
          <w:szCs w:val="24"/>
        </w:rPr>
        <w:t>Нематериальные активы: 1С</w:t>
      </w:r>
      <w:proofErr w:type="gramStart"/>
      <w:r w:rsidRPr="002E4D26">
        <w:rPr>
          <w:szCs w:val="24"/>
        </w:rPr>
        <w:t>:П</w:t>
      </w:r>
      <w:proofErr w:type="gramEnd"/>
      <w:r w:rsidRPr="002E4D26">
        <w:rPr>
          <w:szCs w:val="24"/>
        </w:rPr>
        <w:t>редприятие 8 Управление ремонтным предприятием от 08.10.2012г №№10208705; 10711058; 10711059; 10615136; 10615154; 10615155; 10615156; 10615157. 10711039; 10711045; 10711047. 1С: Предприятие 8.ТОИР Управление ремонтами о обслуживанием оборудования от  02.10.2012 №10271345. 1С</w:t>
      </w:r>
      <w:proofErr w:type="gramStart"/>
      <w:r w:rsidRPr="002E4D26">
        <w:rPr>
          <w:szCs w:val="24"/>
        </w:rPr>
        <w:t>:П</w:t>
      </w:r>
      <w:proofErr w:type="gramEnd"/>
      <w:r w:rsidRPr="002E4D26">
        <w:rPr>
          <w:szCs w:val="24"/>
        </w:rPr>
        <w:t xml:space="preserve">редприятие 8.ТОИР Управление ремонтами о обслуживанием оборудования от 13.12.2012 №10271842. Интернет-сайт, акт от 01.02.2011 №1520. НИОКР, акт от 02.11.2012 №№1-5. Патент - Облицовочная панель № 59101. Патент - Облицовочная панель № 76046. Патент - </w:t>
      </w:r>
      <w:proofErr w:type="spellStart"/>
      <w:r w:rsidRPr="002E4D26">
        <w:rPr>
          <w:szCs w:val="24"/>
        </w:rPr>
        <w:t>Сайдинг</w:t>
      </w:r>
      <w:proofErr w:type="spellEnd"/>
      <w:r w:rsidRPr="002E4D26">
        <w:rPr>
          <w:szCs w:val="24"/>
        </w:rPr>
        <w:t xml:space="preserve"> (варианты) № 63395. Патент - узел крепления </w:t>
      </w:r>
      <w:proofErr w:type="spellStart"/>
      <w:r w:rsidRPr="002E4D26">
        <w:rPr>
          <w:szCs w:val="24"/>
        </w:rPr>
        <w:t>облиц</w:t>
      </w:r>
      <w:proofErr w:type="gramStart"/>
      <w:r w:rsidRPr="002E4D26">
        <w:rPr>
          <w:szCs w:val="24"/>
        </w:rPr>
        <w:t>.п</w:t>
      </w:r>
      <w:proofErr w:type="gramEnd"/>
      <w:r w:rsidRPr="002E4D26">
        <w:rPr>
          <w:szCs w:val="24"/>
        </w:rPr>
        <w:t>анелей</w:t>
      </w:r>
      <w:proofErr w:type="spellEnd"/>
      <w:r w:rsidRPr="002E4D26">
        <w:rPr>
          <w:szCs w:val="24"/>
        </w:rPr>
        <w:t xml:space="preserve"> и </w:t>
      </w:r>
      <w:proofErr w:type="spellStart"/>
      <w:r w:rsidRPr="002E4D26">
        <w:rPr>
          <w:szCs w:val="24"/>
        </w:rPr>
        <w:t>облиц.панель</w:t>
      </w:r>
      <w:proofErr w:type="spellEnd"/>
      <w:r w:rsidRPr="002E4D26">
        <w:rPr>
          <w:szCs w:val="24"/>
        </w:rPr>
        <w:t xml:space="preserve"> №91089. Программное обеспечение  </w:t>
      </w:r>
      <w:proofErr w:type="spellStart"/>
      <w:r w:rsidRPr="002E4D26">
        <w:rPr>
          <w:szCs w:val="24"/>
        </w:rPr>
        <w:t>AutoCAD</w:t>
      </w:r>
      <w:proofErr w:type="spellEnd"/>
      <w:r w:rsidRPr="002E4D26">
        <w:rPr>
          <w:szCs w:val="24"/>
        </w:rPr>
        <w:t xml:space="preserve"> LT 2011 </w:t>
      </w:r>
      <w:proofErr w:type="spellStart"/>
      <w:r w:rsidRPr="002E4D26">
        <w:rPr>
          <w:szCs w:val="24"/>
        </w:rPr>
        <w:t>Commercial</w:t>
      </w:r>
      <w:proofErr w:type="spellEnd"/>
      <w:r w:rsidRPr="002E4D26">
        <w:rPr>
          <w:szCs w:val="24"/>
        </w:rPr>
        <w:t xml:space="preserve"> </w:t>
      </w:r>
      <w:proofErr w:type="spellStart"/>
      <w:r w:rsidRPr="002E4D26">
        <w:rPr>
          <w:szCs w:val="24"/>
        </w:rPr>
        <w:t>New</w:t>
      </w:r>
      <w:proofErr w:type="spellEnd"/>
      <w:r w:rsidRPr="002E4D26">
        <w:rPr>
          <w:szCs w:val="24"/>
        </w:rPr>
        <w:t xml:space="preserve"> SLM от 22.10.2012, №373-55237261. Программное обеспечение  </w:t>
      </w:r>
      <w:proofErr w:type="spellStart"/>
      <w:r w:rsidRPr="002E4D26">
        <w:rPr>
          <w:szCs w:val="24"/>
        </w:rPr>
        <w:t>AutoCAD</w:t>
      </w:r>
      <w:proofErr w:type="spellEnd"/>
      <w:r w:rsidRPr="002E4D26">
        <w:rPr>
          <w:szCs w:val="24"/>
        </w:rPr>
        <w:t xml:space="preserve"> LT 2011 </w:t>
      </w:r>
      <w:proofErr w:type="spellStart"/>
      <w:r w:rsidRPr="002E4D26">
        <w:rPr>
          <w:szCs w:val="24"/>
        </w:rPr>
        <w:t>Commercial</w:t>
      </w:r>
      <w:proofErr w:type="spellEnd"/>
      <w:r w:rsidRPr="002E4D26">
        <w:rPr>
          <w:szCs w:val="24"/>
        </w:rPr>
        <w:t xml:space="preserve"> </w:t>
      </w:r>
      <w:proofErr w:type="spellStart"/>
      <w:r w:rsidRPr="002E4D26">
        <w:rPr>
          <w:szCs w:val="24"/>
        </w:rPr>
        <w:t>New</w:t>
      </w:r>
      <w:proofErr w:type="spellEnd"/>
      <w:r w:rsidRPr="002E4D26">
        <w:rPr>
          <w:szCs w:val="24"/>
        </w:rPr>
        <w:t xml:space="preserve"> SLM (2) от 22.10.2012, №373-55237360. Программное обеспечение "Электронный каталог продукции Терна Полимер", акт от 31.01.2013, №1. Программное обеспечение ABBYY FineReader11, от 19.06.2013, №8102411. Программное обеспечение </w:t>
      </w:r>
      <w:proofErr w:type="spellStart"/>
      <w:r w:rsidRPr="002E4D26">
        <w:rPr>
          <w:szCs w:val="24"/>
        </w:rPr>
        <w:t>SolidWorks</w:t>
      </w:r>
      <w:proofErr w:type="spellEnd"/>
      <w:r w:rsidRPr="002E4D26">
        <w:rPr>
          <w:szCs w:val="24"/>
        </w:rPr>
        <w:t xml:space="preserve"> </w:t>
      </w:r>
      <w:proofErr w:type="spellStart"/>
      <w:r w:rsidRPr="002E4D26">
        <w:rPr>
          <w:szCs w:val="24"/>
        </w:rPr>
        <w:t>Premium</w:t>
      </w:r>
      <w:proofErr w:type="spellEnd"/>
      <w:r w:rsidRPr="002E4D26">
        <w:rPr>
          <w:szCs w:val="24"/>
        </w:rPr>
        <w:t>, от 20.09.2012, №90000097415r5506KD83468F. Программное обе</w:t>
      </w:r>
      <w:r>
        <w:rPr>
          <w:szCs w:val="24"/>
        </w:rPr>
        <w:t xml:space="preserve">спечение </w:t>
      </w:r>
      <w:proofErr w:type="spellStart"/>
      <w:r>
        <w:rPr>
          <w:szCs w:val="24"/>
        </w:rPr>
        <w:t>SolidWorks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Standard</w:t>
      </w:r>
      <w:proofErr w:type="spellEnd"/>
      <w:r>
        <w:rPr>
          <w:szCs w:val="24"/>
        </w:rPr>
        <w:t xml:space="preserve"> от </w:t>
      </w:r>
      <w:r w:rsidRPr="002E4D26">
        <w:rPr>
          <w:szCs w:val="24"/>
        </w:rPr>
        <w:t>20.09.2012 №9000009741506238Q6HRH W53. ТЗ и ТД по договору №0211/РТХ, акт 30.09.2011, №154. ТЗ и ТД по договору №14 от 17.02.2012 г.</w:t>
      </w:r>
      <w:r>
        <w:rPr>
          <w:szCs w:val="24"/>
        </w:rPr>
        <w:t xml:space="preserve"> </w:t>
      </w:r>
      <w:r w:rsidRPr="002E4D26">
        <w:rPr>
          <w:szCs w:val="24"/>
        </w:rPr>
        <w:t xml:space="preserve">акт от 16.06.2012, №142012. ТЗ на изготовление смесительного оборудования, акт от 30.09.2011, №187. ТЗ на изготовление </w:t>
      </w:r>
      <w:proofErr w:type="spellStart"/>
      <w:r w:rsidRPr="002E4D26">
        <w:rPr>
          <w:szCs w:val="24"/>
        </w:rPr>
        <w:t>экструзионного</w:t>
      </w:r>
      <w:proofErr w:type="spellEnd"/>
      <w:r w:rsidRPr="002E4D26">
        <w:rPr>
          <w:szCs w:val="24"/>
        </w:rPr>
        <w:t xml:space="preserve"> оборудования</w:t>
      </w:r>
      <w:r>
        <w:rPr>
          <w:szCs w:val="24"/>
        </w:rPr>
        <w:t xml:space="preserve"> </w:t>
      </w:r>
      <w:r w:rsidRPr="002E4D26">
        <w:rPr>
          <w:szCs w:val="24"/>
        </w:rPr>
        <w:t xml:space="preserve">акт, акт от 30.09.2011, №32. ТЗ на изготовление </w:t>
      </w:r>
      <w:proofErr w:type="spellStart"/>
      <w:r w:rsidRPr="002E4D26">
        <w:rPr>
          <w:szCs w:val="24"/>
        </w:rPr>
        <w:t>экструзионной</w:t>
      </w:r>
      <w:proofErr w:type="spellEnd"/>
      <w:r w:rsidRPr="002E4D26">
        <w:rPr>
          <w:szCs w:val="24"/>
        </w:rPr>
        <w:t xml:space="preserve"> головки, акт от 30.09.2011, №4511. Товарный знак FINEALU, свидетельство №307470. Товарный знак FINEBOOT, свидетельство №304909. Товарный знак FINESTOK, свидетельство №307429. Товарный знак FURNISH, свидетельство №279465.</w:t>
      </w: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lastRenderedPageBreak/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49678B" w:rsidRDefault="0049678B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 xml:space="preserve"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</w:t>
      </w:r>
      <w:r>
        <w:rPr>
          <w:szCs w:val="24"/>
        </w:rPr>
        <w:lastRenderedPageBreak/>
        <w:t>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9B7E13" w:rsidRDefault="009B7E13" w:rsidP="00007F77">
      <w:pPr>
        <w:pStyle w:val="a5"/>
        <w:ind w:firstLine="709"/>
        <w:rPr>
          <w:color w:val="auto"/>
          <w:sz w:val="24"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800D6E" w:rsidRPr="00800D6E">
              <w:rPr>
                <w:b/>
                <w:bCs/>
              </w:rPr>
              <w:t>Терна Полимер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800D6E" w:rsidRDefault="00800D6E" w:rsidP="00800D6E">
            <w:pPr>
              <w:jc w:val="both"/>
            </w:pPr>
            <w:r>
              <w:t>ИНН 5029077534, ОГРН 1045005511100</w:t>
            </w:r>
          </w:p>
          <w:p w:rsidR="004D25B5" w:rsidRPr="007473E0" w:rsidRDefault="002E4D26" w:rsidP="00800D6E">
            <w:pPr>
              <w:jc w:val="both"/>
            </w:pPr>
            <w:proofErr w:type="spellStart"/>
            <w:r w:rsidRPr="002E4D26">
              <w:t>р</w:t>
            </w:r>
            <w:proofErr w:type="gramStart"/>
            <w:r w:rsidRPr="002E4D26">
              <w:t>.с</w:t>
            </w:r>
            <w:proofErr w:type="spellEnd"/>
            <w:proofErr w:type="gramEnd"/>
            <w:r w:rsidRPr="002E4D26">
              <w:t xml:space="preserve">  40702810130040000792 в Московский филиал АКБ «Крыловский» (АО) г. Москва БИК 044583358 </w:t>
            </w:r>
            <w:proofErr w:type="spellStart"/>
            <w:r w:rsidRPr="002E4D26">
              <w:t>кор</w:t>
            </w:r>
            <w:proofErr w:type="spellEnd"/>
            <w:r w:rsidRPr="002E4D26">
              <w:t xml:space="preserve"> счет 30101810500000000358</w:t>
            </w:r>
            <w:r w:rsidR="00800D6E">
              <w:t>.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211B24"/>
    <w:rsid w:val="002E4D26"/>
    <w:rsid w:val="003237FF"/>
    <w:rsid w:val="00340BBD"/>
    <w:rsid w:val="003419DC"/>
    <w:rsid w:val="00365B8E"/>
    <w:rsid w:val="003A6781"/>
    <w:rsid w:val="003B44B4"/>
    <w:rsid w:val="0045622A"/>
    <w:rsid w:val="004646C8"/>
    <w:rsid w:val="004725E1"/>
    <w:rsid w:val="00486E7A"/>
    <w:rsid w:val="0049678B"/>
    <w:rsid w:val="004D25B5"/>
    <w:rsid w:val="0058390A"/>
    <w:rsid w:val="005E5C0E"/>
    <w:rsid w:val="0060236B"/>
    <w:rsid w:val="00664783"/>
    <w:rsid w:val="00676895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9B7E13"/>
    <w:rsid w:val="00A066FF"/>
    <w:rsid w:val="00B03C20"/>
    <w:rsid w:val="00B16978"/>
    <w:rsid w:val="00B5653C"/>
    <w:rsid w:val="00B57D44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AE45-6F9F-4443-9D9E-C1E2A5BE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11</cp:revision>
  <cp:lastPrinted>2011-12-03T09:48:00Z</cp:lastPrinted>
  <dcterms:created xsi:type="dcterms:W3CDTF">2016-12-22T11:48:00Z</dcterms:created>
  <dcterms:modified xsi:type="dcterms:W3CDTF">2017-04-13T12:29:00Z</dcterms:modified>
</cp:coreProperties>
</file>