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2019г.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№1-3</w:t>
      </w:r>
      <w:r>
        <w:rPr>
          <w:rFonts w:hint="default"/>
          <w:lang w:val="ru-RU"/>
        </w:rPr>
        <w:t>3</w:t>
      </w:r>
      <w:r>
        <w:t xml:space="preserve">, условия проведения которых </w:t>
      </w:r>
      <w:r>
        <w:rPr>
          <w:rStyle w:val="13"/>
          <w:color w:val="000000"/>
        </w:rPr>
        <w:t xml:space="preserve">опубликованы в газете «Коммерсантъ» от </w:t>
      </w:r>
      <w:r>
        <w:rPr>
          <w:rStyle w:val="13"/>
          <w:rFonts w:hint="default"/>
          <w:color w:val="000000"/>
          <w:lang w:val="ru-RU"/>
        </w:rPr>
        <w:t>27</w:t>
      </w:r>
      <w:r>
        <w:rPr>
          <w:rStyle w:val="13"/>
          <w:color w:val="000000"/>
        </w:rPr>
        <w:t>.</w:t>
      </w:r>
      <w:r>
        <w:rPr>
          <w:rStyle w:val="13"/>
          <w:rFonts w:hint="default"/>
          <w:color w:val="000000"/>
          <w:lang w:val="ru-RU"/>
        </w:rPr>
        <w:t>04</w:t>
      </w:r>
      <w:r>
        <w:rPr>
          <w:rStyle w:val="13"/>
          <w:color w:val="000000"/>
        </w:rPr>
        <w:t>.2019 сообщение за №432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>00</w:t>
      </w:r>
      <w:r>
        <w:rPr>
          <w:rStyle w:val="13"/>
          <w:rFonts w:hint="default"/>
          <w:color w:val="000000"/>
          <w:lang w:val="ru-RU"/>
        </w:rPr>
        <w:t>01412</w:t>
      </w:r>
      <w:bookmarkStart w:id="0" w:name="_GoBack"/>
      <w:bookmarkEnd w:id="0"/>
      <w:r>
        <w:rPr>
          <w:rStyle w:val="13"/>
          <w:color w:val="000000"/>
        </w:rPr>
        <w:t xml:space="preserve">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</w:t>
      </w:r>
      <w:r>
        <w:rPr>
          <w:rStyle w:val="13"/>
          <w:lang w:val="ru-RU"/>
        </w:rPr>
        <w:t>от первоначальной цены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Style w:val="13"/>
          <w:color w:val="000000"/>
        </w:rPr>
        <w:t>1</w:t>
      </w:r>
      <w:r>
        <w:rPr>
          <w:rStyle w:val="13"/>
          <w:color w:val="000000"/>
          <w:lang w:val="ru-RU"/>
        </w:rPr>
        <w:t>-3</w:t>
      </w:r>
      <w:r>
        <w:rPr>
          <w:rStyle w:val="13"/>
          <w:rFonts w:hint="default"/>
          <w:color w:val="000000"/>
          <w:lang w:val="ru-RU"/>
        </w:rPr>
        <w:t>3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первоначальной цены</w:t>
      </w:r>
      <w:r>
        <w:rPr>
          <w:rStyle w:val="13"/>
          <w:color w:val="000000"/>
        </w:rPr>
        <w:t xml:space="preserve"> должен быть уплачен в срок до окончания приема заявок</w:t>
      </w:r>
      <w:r>
        <w:t>.</w:t>
      </w:r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258562D7"/>
    <w:rsid w:val="31525A1C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8</TotalTime>
  <ScaleCrop>false</ScaleCrop>
  <LinksUpToDate>false</LinksUpToDate>
  <CharactersWithSpaces>3020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2019-06-20T20:13:53Z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1049-11.2.0.8641</vt:lpwstr>
  </property>
</Properties>
</file>