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Микрюковой Елены Владимировны Веселухин Андрей Викторович (ИНН 434542650165), действующий на основании Решением Арбитражного суда Кировской области от 25.07.2018 по делу № А28-4655/2018,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Лоту №1, условия проведения которых </w:t>
      </w:r>
      <w:r>
        <w:rPr>
          <w:rStyle w:val="13"/>
          <w:color w:val="000000"/>
        </w:rPr>
        <w:t xml:space="preserve">опубликованы в газете «Коммерсантъ» от 30.03.2019 сообщение за №4320001375,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45</w:t>
      </w:r>
      <w:bookmarkStart w:id="0" w:name="_GoBack"/>
      <w:bookmarkEnd w:id="0"/>
      <w:r>
        <w:rPr>
          <w:rStyle w:val="13"/>
        </w:rPr>
        <w:t>00 руб. (пять тысяч рублей)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 xml:space="preserve">Задаток по Лоту № 1 в сумме </w:t>
      </w:r>
      <w:r>
        <w:rPr>
          <w:rStyle w:val="13"/>
          <w:lang w:val="ru-RU"/>
        </w:rPr>
        <w:t>45</w:t>
      </w:r>
      <w:r>
        <w:rPr>
          <w:rStyle w:val="13"/>
        </w:rPr>
        <w:t xml:space="preserve">00 </w:t>
      </w:r>
      <w:r>
        <w:rPr>
          <w:rStyle w:val="13"/>
          <w:color w:val="000000"/>
        </w:rPr>
        <w:t>руб. 00 коп.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 ____________________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45E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4</TotalTime>
  <ScaleCrop>false</ScaleCrop>
  <LinksUpToDate>false</LinksUpToDate>
  <CharactersWithSpaces>3020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2019-05-30T13:08:09Z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1049-11.2.0.8339</vt:lpwstr>
  </property>
</Properties>
</file>