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320B0D">
        <w:rPr>
          <w:b w:val="0"/>
          <w:sz w:val="22"/>
          <w:szCs w:val="22"/>
        </w:rPr>
        <w:t xml:space="preserve"> </w:t>
      </w:r>
      <w:r w:rsidR="00D74739">
        <w:rPr>
          <w:b w:val="0"/>
          <w:sz w:val="22"/>
          <w:szCs w:val="22"/>
        </w:rPr>
        <w:t xml:space="preserve">        « ____» __________ 2018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</w:t>
      </w:r>
      <w:bookmarkStart w:id="0" w:name="_GoBack"/>
      <w:bookmarkEnd w:id="0"/>
      <w:r>
        <w:rPr>
          <w:sz w:val="22"/>
          <w:szCs w:val="22"/>
          <w:lang w:eastAsia="en-US"/>
        </w:rPr>
        <w:t>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</w:t>
      </w:r>
      <w:proofErr w:type="gramStart"/>
      <w:r w:rsidRPr="00691B9E">
        <w:rPr>
          <w:sz w:val="22"/>
          <w:szCs w:val="22"/>
        </w:rPr>
        <w:t>.У</w:t>
      </w:r>
      <w:proofErr w:type="gramEnd"/>
      <w:r w:rsidRPr="00691B9E">
        <w:rPr>
          <w:sz w:val="22"/>
          <w:szCs w:val="22"/>
        </w:rPr>
        <w:t>ссурийск, Приморский край, ул.</w:t>
      </w:r>
      <w:r w:rsidR="004D38C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Попова, 32а) </w:t>
      </w:r>
      <w:r w:rsidR="00CD150C">
        <w:rPr>
          <w:sz w:val="22"/>
          <w:szCs w:val="22"/>
        </w:rPr>
        <w:t>проводимых в период с 02.06.2</w:t>
      </w:r>
      <w:r w:rsidR="004D38CE">
        <w:rPr>
          <w:sz w:val="22"/>
          <w:szCs w:val="22"/>
        </w:rPr>
        <w:t>01</w:t>
      </w:r>
      <w:r w:rsidR="00D74739">
        <w:rPr>
          <w:sz w:val="22"/>
          <w:szCs w:val="22"/>
        </w:rPr>
        <w:t>8</w:t>
      </w:r>
      <w:r w:rsidR="004D38CE">
        <w:rPr>
          <w:sz w:val="22"/>
          <w:szCs w:val="22"/>
        </w:rPr>
        <w:t xml:space="preserve"> </w:t>
      </w:r>
      <w:r w:rsidR="00D342D9">
        <w:rPr>
          <w:sz w:val="22"/>
          <w:szCs w:val="22"/>
        </w:rPr>
        <w:t>с 00:00 час. п</w:t>
      </w:r>
      <w:r w:rsidR="004D38CE">
        <w:rPr>
          <w:sz w:val="22"/>
          <w:szCs w:val="22"/>
        </w:rPr>
        <w:t xml:space="preserve">о </w:t>
      </w:r>
      <w:r w:rsidR="00CD150C">
        <w:rPr>
          <w:sz w:val="22"/>
          <w:szCs w:val="22"/>
        </w:rPr>
        <w:t>20.08.</w:t>
      </w:r>
      <w:r w:rsidR="00AE5129">
        <w:rPr>
          <w:sz w:val="22"/>
          <w:szCs w:val="22"/>
        </w:rPr>
        <w:t>2018</w:t>
      </w:r>
      <w:r w:rsidR="00D74739">
        <w:rPr>
          <w:sz w:val="22"/>
          <w:szCs w:val="22"/>
        </w:rPr>
        <w:t xml:space="preserve"> </w:t>
      </w:r>
      <w:r w:rsidR="00D342D9">
        <w:rPr>
          <w:sz w:val="22"/>
          <w:szCs w:val="22"/>
        </w:rPr>
        <w:t xml:space="preserve">до 00:00 час. (время московское)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 xml:space="preserve">Интернет по </w:t>
      </w:r>
      <w:r w:rsidR="0088754A" w:rsidRPr="004D38CE">
        <w:rPr>
          <w:bCs/>
          <w:sz w:val="22"/>
          <w:szCs w:val="22"/>
        </w:rPr>
        <w:t xml:space="preserve">адресу: </w:t>
      </w:r>
      <w:hyperlink r:id="rId5" w:history="1">
        <w:r w:rsidR="0088754A" w:rsidRPr="004D38CE">
          <w:rPr>
            <w:rStyle w:val="ab"/>
            <w:sz w:val="22"/>
            <w:szCs w:val="22"/>
            <w:lang w:val="en-US"/>
          </w:rPr>
          <w:t>http</w:t>
        </w:r>
        <w:r w:rsidR="0088754A" w:rsidRPr="004D38CE">
          <w:rPr>
            <w:rStyle w:val="ab"/>
            <w:sz w:val="22"/>
            <w:szCs w:val="22"/>
          </w:rPr>
          <w:t>://</w:t>
        </w:r>
        <w:r w:rsidR="0088754A" w:rsidRPr="004D38CE">
          <w:rPr>
            <w:rStyle w:val="ab"/>
            <w:sz w:val="22"/>
            <w:szCs w:val="22"/>
            <w:lang w:val="en-US"/>
          </w:rPr>
          <w:t>www</w:t>
        </w:r>
        <w:r w:rsidR="0088754A" w:rsidRPr="004D38CE">
          <w:rPr>
            <w:rStyle w:val="ab"/>
            <w:sz w:val="22"/>
            <w:szCs w:val="22"/>
          </w:rPr>
          <w:t>.торговая-площадка-вэтп.рф</w:t>
        </w:r>
      </w:hyperlink>
      <w:r w:rsidR="0088754A" w:rsidRPr="004D38C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4D38CE" w:rsidRPr="00CD150C">
        <w:rPr>
          <w:sz w:val="22"/>
          <w:szCs w:val="22"/>
        </w:rPr>
        <w:t xml:space="preserve">Лоту № 1 </w:t>
      </w:r>
      <w:r w:rsidR="00CD150C" w:rsidRPr="00CD150C">
        <w:rPr>
          <w:sz w:val="22"/>
          <w:szCs w:val="22"/>
        </w:rPr>
        <w:t>–</w:t>
      </w:r>
      <w:r w:rsidR="004D38CE" w:rsidRPr="00CD150C">
        <w:rPr>
          <w:sz w:val="22"/>
          <w:szCs w:val="22"/>
        </w:rPr>
        <w:t xml:space="preserve"> </w:t>
      </w:r>
      <w:r w:rsidR="00CD150C" w:rsidRPr="00CD150C">
        <w:rPr>
          <w:sz w:val="22"/>
          <w:szCs w:val="22"/>
        </w:rPr>
        <w:t xml:space="preserve">автомобиль </w:t>
      </w:r>
      <w:r w:rsidR="00CD150C" w:rsidRPr="00CD150C">
        <w:rPr>
          <w:b/>
          <w:bCs/>
          <w:spacing w:val="-6"/>
          <w:sz w:val="22"/>
          <w:szCs w:val="22"/>
          <w:lang w:val="en-US"/>
        </w:rPr>
        <w:t>Toyota</w:t>
      </w:r>
      <w:r w:rsidR="00CD150C" w:rsidRPr="00CD150C">
        <w:rPr>
          <w:b/>
          <w:bCs/>
          <w:spacing w:val="-6"/>
          <w:sz w:val="22"/>
          <w:szCs w:val="22"/>
        </w:rPr>
        <w:t xml:space="preserve"> </w:t>
      </w:r>
      <w:r w:rsidR="00CD150C" w:rsidRPr="00CD150C">
        <w:rPr>
          <w:b/>
          <w:bCs/>
          <w:spacing w:val="-6"/>
          <w:sz w:val="22"/>
          <w:szCs w:val="22"/>
          <w:lang w:val="en-US"/>
        </w:rPr>
        <w:t>Land</w:t>
      </w:r>
      <w:r w:rsidR="00CD150C" w:rsidRPr="00CD150C">
        <w:rPr>
          <w:b/>
          <w:bCs/>
          <w:spacing w:val="-6"/>
          <w:sz w:val="22"/>
          <w:szCs w:val="22"/>
        </w:rPr>
        <w:t xml:space="preserve"> </w:t>
      </w:r>
      <w:r w:rsidR="00CD150C" w:rsidRPr="00CD150C">
        <w:rPr>
          <w:b/>
          <w:bCs/>
          <w:spacing w:val="-6"/>
          <w:sz w:val="22"/>
          <w:szCs w:val="22"/>
          <w:lang w:val="en-US"/>
        </w:rPr>
        <w:t>Cruiser</w:t>
      </w:r>
      <w:r w:rsidR="00CD150C" w:rsidRPr="00CD150C">
        <w:rPr>
          <w:b/>
          <w:bCs/>
          <w:spacing w:val="-6"/>
          <w:sz w:val="22"/>
          <w:szCs w:val="22"/>
        </w:rPr>
        <w:t xml:space="preserve"> </w:t>
      </w:r>
      <w:r w:rsidR="00CD150C" w:rsidRPr="00CD150C">
        <w:rPr>
          <w:b/>
          <w:bCs/>
          <w:spacing w:val="-6"/>
          <w:sz w:val="22"/>
          <w:szCs w:val="22"/>
          <w:lang w:val="en-US"/>
        </w:rPr>
        <w:t>GRJ</w:t>
      </w:r>
      <w:r w:rsidR="00CD150C" w:rsidRPr="00CD150C">
        <w:rPr>
          <w:b/>
          <w:bCs/>
          <w:spacing w:val="-6"/>
          <w:sz w:val="22"/>
          <w:szCs w:val="22"/>
        </w:rPr>
        <w:t>120</w:t>
      </w:r>
      <w:r w:rsidR="00CD150C" w:rsidRPr="00CD150C">
        <w:rPr>
          <w:b/>
          <w:bCs/>
          <w:spacing w:val="-6"/>
          <w:sz w:val="22"/>
          <w:szCs w:val="22"/>
          <w:lang w:val="en-US"/>
        </w:rPr>
        <w:t>L</w:t>
      </w:r>
      <w:r w:rsidR="00CD150C" w:rsidRPr="00CD150C">
        <w:rPr>
          <w:b/>
          <w:bCs/>
          <w:spacing w:val="-6"/>
          <w:sz w:val="22"/>
          <w:szCs w:val="22"/>
        </w:rPr>
        <w:t>-</w:t>
      </w:r>
      <w:r w:rsidR="00CD150C" w:rsidRPr="00CD150C">
        <w:rPr>
          <w:b/>
          <w:bCs/>
          <w:spacing w:val="-6"/>
          <w:sz w:val="22"/>
          <w:szCs w:val="22"/>
          <w:lang w:val="en-US"/>
        </w:rPr>
        <w:t>GKAEKW</w:t>
      </w:r>
      <w:r w:rsidR="00CD150C" w:rsidRPr="00CD150C">
        <w:rPr>
          <w:b/>
          <w:bCs/>
          <w:spacing w:val="-6"/>
          <w:sz w:val="22"/>
          <w:szCs w:val="22"/>
        </w:rPr>
        <w:t>, 2008 г.в., г/н М431УВ</w:t>
      </w:r>
      <w:r w:rsidR="00CD150C">
        <w:rPr>
          <w:b/>
          <w:bCs/>
          <w:spacing w:val="-6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CD150C">
        <w:rPr>
          <w:sz w:val="22"/>
          <w:szCs w:val="22"/>
        </w:rPr>
        <w:t xml:space="preserve">_____________ руб. </w:t>
      </w:r>
      <w:r w:rsidRPr="00691B9E">
        <w:rPr>
          <w:sz w:val="22"/>
          <w:szCs w:val="22"/>
        </w:rPr>
        <w:t>(</w:t>
      </w:r>
      <w:proofErr w:type="spellStart"/>
      <w:r w:rsidR="00CD150C">
        <w:rPr>
          <w:sz w:val="22"/>
          <w:szCs w:val="22"/>
        </w:rPr>
        <w:t>_____________________руб</w:t>
      </w:r>
      <w:proofErr w:type="spellEnd"/>
      <w:r w:rsidR="00CD150C">
        <w:rPr>
          <w:sz w:val="22"/>
          <w:szCs w:val="22"/>
        </w:rPr>
        <w:t xml:space="preserve">. ___ коп.) </w:t>
      </w:r>
      <w:r w:rsidRPr="00691B9E">
        <w:rPr>
          <w:sz w:val="22"/>
          <w:szCs w:val="22"/>
        </w:rPr>
        <w:t>(далее</w:t>
      </w:r>
      <w:r w:rsidR="00D342D9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</w:t>
      </w:r>
      <w:r w:rsidR="00D342D9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«Задаток»), </w:t>
      </w:r>
      <w:r w:rsidR="00D342D9">
        <w:rPr>
          <w:sz w:val="22"/>
          <w:szCs w:val="22"/>
        </w:rPr>
        <w:t>а Организатор торгов принимает З</w:t>
      </w:r>
      <w:r w:rsidRPr="00691B9E">
        <w:rPr>
          <w:sz w:val="22"/>
          <w:szCs w:val="22"/>
        </w:rPr>
        <w:t>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БАНК: Сбербанк России доп.офис №8635/0297, р/с№</w:t>
      </w:r>
      <w:r w:rsidR="004D38C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4D38CE">
        <w:rPr>
          <w:sz w:val="22"/>
          <w:szCs w:val="22"/>
        </w:rPr>
        <w:t>по лоту № 1</w:t>
      </w:r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</w:t>
      </w:r>
      <w:proofErr w:type="gramStart"/>
      <w:r>
        <w:rPr>
          <w:sz w:val="22"/>
          <w:szCs w:val="22"/>
        </w:rPr>
        <w:t>с даты окончания</w:t>
      </w:r>
      <w:proofErr w:type="gramEnd"/>
      <w:r>
        <w:rPr>
          <w:sz w:val="22"/>
          <w:szCs w:val="22"/>
        </w:rPr>
        <w:t xml:space="preserve">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CD150C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rFonts w:eastAsia="Times New Roman"/>
                <w:i w:val="0"/>
                <w:sz w:val="22"/>
                <w:szCs w:val="22"/>
                <w:lang w:val="ru-RU"/>
              </w:rPr>
            </w:pPr>
            <w:r w:rsidRPr="00CD150C">
              <w:rPr>
                <w:rFonts w:eastAsia="Times New Roman"/>
                <w:i w:val="0"/>
                <w:sz w:val="22"/>
                <w:szCs w:val="22"/>
                <w:lang w:val="ru-RU"/>
              </w:rPr>
              <w:t>Организатор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 w:rsidR="004D38CE"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CD150C" w:rsidRDefault="004D5DB8">
            <w:pPr>
              <w:pStyle w:val="a3"/>
              <w:jc w:val="left"/>
              <w:rPr>
                <w:rFonts w:eastAsia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:rsidR="004D5DB8" w:rsidRPr="00CD150C" w:rsidRDefault="004D5DB8">
            <w:pPr>
              <w:pStyle w:val="a3"/>
              <w:rPr>
                <w:rFonts w:eastAsia="Times New Roman"/>
                <w:sz w:val="22"/>
                <w:szCs w:val="22"/>
                <w:lang w:val="ru-RU"/>
              </w:rPr>
            </w:pPr>
            <w:r w:rsidRPr="00CD150C">
              <w:rPr>
                <w:rFonts w:eastAsia="Times New Roman"/>
                <w:sz w:val="22"/>
                <w:szCs w:val="22"/>
                <w:lang w:val="ru-RU"/>
              </w:rPr>
              <w:t>Претендент</w:t>
            </w:r>
          </w:p>
          <w:p w:rsidR="004D5DB8" w:rsidRPr="00CD150C" w:rsidRDefault="004D5DB8">
            <w:pPr>
              <w:pStyle w:val="a3"/>
              <w:rPr>
                <w:rFonts w:eastAsia="Times New Roman"/>
                <w:i/>
                <w:sz w:val="22"/>
                <w:szCs w:val="22"/>
                <w:lang w:val="ru-RU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</w:t>
            </w:r>
            <w:r w:rsidR="004D38CE">
              <w:rPr>
                <w:sz w:val="22"/>
                <w:szCs w:val="22"/>
              </w:rPr>
              <w:t>_______</w:t>
            </w:r>
            <w:r w:rsidRPr="009D3DF4">
              <w:rPr>
                <w:sz w:val="22"/>
                <w:szCs w:val="22"/>
              </w:rPr>
              <w:t>__ /</w:t>
            </w:r>
          </w:p>
          <w:p w:rsidR="004D5DB8" w:rsidRPr="00CD150C" w:rsidRDefault="004D5DB8">
            <w:pPr>
              <w:pStyle w:val="a3"/>
              <w:jc w:val="left"/>
              <w:rPr>
                <w:rFonts w:eastAsia="Times New Roman"/>
                <w:i/>
                <w:sz w:val="22"/>
                <w:szCs w:val="22"/>
                <w:highlight w:val="yellow"/>
                <w:lang w:val="ru-RU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0B0D"/>
    <w:rsid w:val="00323CE4"/>
    <w:rsid w:val="00373720"/>
    <w:rsid w:val="003A2563"/>
    <w:rsid w:val="003A7B6D"/>
    <w:rsid w:val="00427426"/>
    <w:rsid w:val="004506AC"/>
    <w:rsid w:val="00493D1E"/>
    <w:rsid w:val="004A4AC3"/>
    <w:rsid w:val="004A533F"/>
    <w:rsid w:val="004D38CE"/>
    <w:rsid w:val="004D5DB8"/>
    <w:rsid w:val="005514E9"/>
    <w:rsid w:val="0059175B"/>
    <w:rsid w:val="00591E26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AE5129"/>
    <w:rsid w:val="00B03A35"/>
    <w:rsid w:val="00B13EFD"/>
    <w:rsid w:val="00B26E38"/>
    <w:rsid w:val="00B61ED4"/>
    <w:rsid w:val="00B83978"/>
    <w:rsid w:val="00C45C0C"/>
    <w:rsid w:val="00C93D2B"/>
    <w:rsid w:val="00CA6FD0"/>
    <w:rsid w:val="00CD1317"/>
    <w:rsid w:val="00CD150C"/>
    <w:rsid w:val="00D342D9"/>
    <w:rsid w:val="00D67702"/>
    <w:rsid w:val="00D730EE"/>
    <w:rsid w:val="00D74739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rFonts w:eastAsia="Calibri"/>
      <w:b/>
      <w:i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rFonts w:eastAsia="Calibri"/>
      <w:b/>
      <w:lang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rFonts w:eastAsia="Calibri"/>
      <w:b/>
      <w:lang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rFonts w:eastAsia="Calibri"/>
      <w:lang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eastAsia="Calibri" w:hAnsi="Tahoma"/>
      <w:sz w:val="16"/>
      <w:szCs w:val="16"/>
      <w:lang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letash-ia</cp:lastModifiedBy>
  <cp:revision>24</cp:revision>
  <dcterms:created xsi:type="dcterms:W3CDTF">2015-12-04T04:11:00Z</dcterms:created>
  <dcterms:modified xsi:type="dcterms:W3CDTF">2018-05-25T01:16:00Z</dcterms:modified>
</cp:coreProperties>
</file>