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CC7444">
        <w:rPr>
          <w:snapToGrid/>
          <w:sz w:val="20"/>
        </w:rPr>
        <w:t>9</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 xml:space="preserve">Конкурсный управляющий </w:t>
      </w:r>
      <w:r w:rsidR="00CC7444" w:rsidRPr="00CC7444">
        <w:rPr>
          <w:snapToGrid/>
          <w:sz w:val="20"/>
          <w:lang w:bidi="ru-RU"/>
        </w:rPr>
        <w:t>ООО "</w:t>
      </w:r>
      <w:proofErr w:type="spellStart"/>
      <w:r w:rsidR="00CC7444" w:rsidRPr="00CC7444">
        <w:rPr>
          <w:snapToGrid/>
          <w:sz w:val="20"/>
          <w:lang w:bidi="ru-RU"/>
        </w:rPr>
        <w:t>СК</w:t>
      </w:r>
      <w:proofErr w:type="spellEnd"/>
      <w:r w:rsidR="00CC7444" w:rsidRPr="00CC7444">
        <w:rPr>
          <w:snapToGrid/>
          <w:sz w:val="20"/>
          <w:lang w:bidi="ru-RU"/>
        </w:rPr>
        <w:t xml:space="preserve"> КИТ" ИНН: 7715979517, </w:t>
      </w:r>
      <w:proofErr w:type="spellStart"/>
      <w:r w:rsidR="00CC7444" w:rsidRPr="00CC7444">
        <w:rPr>
          <w:snapToGrid/>
          <w:sz w:val="20"/>
          <w:lang w:bidi="ru-RU"/>
        </w:rPr>
        <w:t>ОГРН</w:t>
      </w:r>
      <w:proofErr w:type="spellEnd"/>
      <w:r w:rsidR="00CC7444" w:rsidRPr="00CC7444">
        <w:rPr>
          <w:snapToGrid/>
          <w:sz w:val="20"/>
          <w:lang w:bidi="ru-RU"/>
        </w:rPr>
        <w:t>: 1137746982086 (адрес: 127106, г. Москва, ул. Гостиничная, д. 4, корп. 9) Прудников Алексей Владимирович (</w:t>
      </w:r>
      <w:proofErr w:type="spellStart"/>
      <w:r w:rsidR="00CC7444" w:rsidRPr="00CC7444">
        <w:rPr>
          <w:snapToGrid/>
          <w:sz w:val="20"/>
          <w:lang w:bidi="ru-RU"/>
        </w:rPr>
        <w:t>СНИЛС</w:t>
      </w:r>
      <w:proofErr w:type="spellEnd"/>
      <w:r w:rsidR="00CC7444" w:rsidRPr="00CC7444">
        <w:rPr>
          <w:snapToGrid/>
          <w:sz w:val="20"/>
          <w:lang w:bidi="ru-RU"/>
        </w:rPr>
        <w:t xml:space="preserve"> 074-079-316-71; ИНН 772640978998), член </w:t>
      </w:r>
      <w:proofErr w:type="spellStart"/>
      <w:r w:rsidR="00CC7444" w:rsidRPr="00CC7444">
        <w:rPr>
          <w:snapToGrid/>
          <w:sz w:val="20"/>
          <w:lang w:bidi="ru-RU"/>
        </w:rPr>
        <w:t>САУ</w:t>
      </w:r>
      <w:proofErr w:type="spellEnd"/>
      <w:r w:rsidR="00CC7444" w:rsidRPr="00CC7444">
        <w:rPr>
          <w:snapToGrid/>
          <w:sz w:val="20"/>
          <w:lang w:bidi="ru-RU"/>
        </w:rPr>
        <w:t xml:space="preserve"> «</w:t>
      </w:r>
      <w:proofErr w:type="spellStart"/>
      <w:r w:rsidR="00CC7444" w:rsidRPr="00CC7444">
        <w:rPr>
          <w:snapToGrid/>
          <w:sz w:val="20"/>
          <w:lang w:bidi="ru-RU"/>
        </w:rPr>
        <w:t>СРО</w:t>
      </w:r>
      <w:proofErr w:type="spellEnd"/>
      <w:r w:rsidR="00CC7444" w:rsidRPr="00CC7444">
        <w:rPr>
          <w:snapToGrid/>
          <w:sz w:val="20"/>
          <w:lang w:bidi="ru-RU"/>
        </w:rPr>
        <w:t xml:space="preserve"> «Дело» (105082, г. Москва, а/я 85, </w:t>
      </w:r>
      <w:proofErr w:type="spellStart"/>
      <w:r w:rsidR="00CC7444" w:rsidRPr="00CC7444">
        <w:rPr>
          <w:snapToGrid/>
          <w:sz w:val="20"/>
          <w:lang w:bidi="ru-RU"/>
        </w:rPr>
        <w:t>САУ</w:t>
      </w:r>
      <w:proofErr w:type="spellEnd"/>
      <w:r w:rsidR="00CC7444" w:rsidRPr="00CC7444">
        <w:rPr>
          <w:snapToGrid/>
          <w:sz w:val="20"/>
          <w:lang w:bidi="ru-RU"/>
        </w:rPr>
        <w:t xml:space="preserve"> </w:t>
      </w:r>
      <w:proofErr w:type="spellStart"/>
      <w:r w:rsidR="00CC7444" w:rsidRPr="00CC7444">
        <w:rPr>
          <w:snapToGrid/>
          <w:sz w:val="20"/>
          <w:lang w:bidi="ru-RU"/>
        </w:rPr>
        <w:t>СРО</w:t>
      </w:r>
      <w:proofErr w:type="spellEnd"/>
      <w:r w:rsidR="00CC7444" w:rsidRPr="00CC7444">
        <w:rPr>
          <w:snapToGrid/>
          <w:sz w:val="20"/>
          <w:lang w:bidi="ru-RU"/>
        </w:rPr>
        <w:t xml:space="preserve"> «Дело», ИНН 5010029544, </w:t>
      </w:r>
      <w:proofErr w:type="spellStart"/>
      <w:r w:rsidR="00CC7444" w:rsidRPr="00CC7444">
        <w:rPr>
          <w:snapToGrid/>
          <w:sz w:val="20"/>
          <w:lang w:bidi="ru-RU"/>
        </w:rPr>
        <w:t>ОГРН</w:t>
      </w:r>
      <w:proofErr w:type="spellEnd"/>
      <w:r w:rsidR="00CC7444" w:rsidRPr="00CC7444">
        <w:rPr>
          <w:snapToGrid/>
          <w:sz w:val="20"/>
          <w:lang w:bidi="ru-RU"/>
        </w:rPr>
        <w:t xml:space="preserve"> 1035002205919). Номер в реестре АУ - 10133. Утвержден Решением Арбитражного суда г. Москвы от 21.12.2017 г. дело № А40-239675/16-103-324 </w:t>
      </w:r>
      <w:r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CC7444">
        <w:rPr>
          <w:snapToGrid/>
          <w:sz w:val="20"/>
        </w:rPr>
        <w:t>9</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w:t>
      </w:r>
      <w:r w:rsidR="00CC7444">
        <w:rPr>
          <w:snapToGrid/>
          <w:sz w:val="20"/>
        </w:rPr>
        <w:t>9</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8648C8">
        <w:tc>
          <w:tcPr>
            <w:tcW w:w="50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151E1D" w:rsidRPr="00927E73" w:rsidTr="00CC7444">
        <w:tc>
          <w:tcPr>
            <w:tcW w:w="503" w:type="dxa"/>
            <w:tcBorders>
              <w:top w:val="single" w:sz="4" w:space="0" w:color="auto"/>
              <w:left w:val="single" w:sz="4" w:space="0" w:color="auto"/>
              <w:bottom w:val="single" w:sz="4" w:space="0" w:color="auto"/>
              <w:right w:val="single" w:sz="4" w:space="0" w:color="auto"/>
            </w:tcBorders>
          </w:tcPr>
          <w:p w:rsidR="00151E1D" w:rsidRPr="00CC7444" w:rsidRDefault="00151E1D"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151E1D"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 xml:space="preserve">ООО </w:t>
            </w:r>
            <w:proofErr w:type="spellStart"/>
            <w:r>
              <w:rPr>
                <w:rFonts w:ascii="Times New Roman CYR" w:hAnsi="Times New Roman CYR" w:cs="Times New Roman CYR"/>
                <w:sz w:val="16"/>
                <w:szCs w:val="16"/>
              </w:rPr>
              <w:t>МОИСС</w:t>
            </w:r>
            <w:proofErr w:type="spellEnd"/>
          </w:p>
        </w:tc>
        <w:tc>
          <w:tcPr>
            <w:tcW w:w="3379" w:type="dxa"/>
            <w:tcBorders>
              <w:top w:val="single" w:sz="4" w:space="0" w:color="auto"/>
              <w:left w:val="single" w:sz="4" w:space="0" w:color="auto"/>
              <w:bottom w:val="single" w:sz="4" w:space="0" w:color="auto"/>
              <w:right w:val="single" w:sz="4" w:space="0" w:color="auto"/>
            </w:tcBorders>
          </w:tcPr>
          <w:p w:rsidR="00151E1D"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5026115076</w:t>
            </w:r>
          </w:p>
        </w:tc>
        <w:tc>
          <w:tcPr>
            <w:tcW w:w="2050" w:type="dxa"/>
            <w:tcBorders>
              <w:top w:val="single" w:sz="4" w:space="0" w:color="auto"/>
              <w:left w:val="single" w:sz="4" w:space="0" w:color="auto"/>
              <w:bottom w:val="single" w:sz="4" w:space="0" w:color="auto"/>
              <w:right w:val="single" w:sz="4" w:space="0" w:color="auto"/>
            </w:tcBorders>
          </w:tcPr>
          <w:p w:rsidR="00151E1D" w:rsidRPr="00927E73" w:rsidRDefault="00CC7444"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1 560 667,81</w:t>
            </w:r>
          </w:p>
        </w:tc>
        <w:tc>
          <w:tcPr>
            <w:tcW w:w="1696"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p>
        </w:tc>
      </w:tr>
      <w:tr w:rsidR="00CC7444" w:rsidRPr="00927E73" w:rsidTr="00CC7444">
        <w:tc>
          <w:tcPr>
            <w:tcW w:w="503" w:type="dxa"/>
            <w:tcBorders>
              <w:top w:val="single" w:sz="4" w:space="0" w:color="auto"/>
              <w:left w:val="single" w:sz="4" w:space="0" w:color="auto"/>
              <w:bottom w:val="single" w:sz="4" w:space="0" w:color="auto"/>
              <w:right w:val="single" w:sz="4" w:space="0" w:color="auto"/>
            </w:tcBorders>
          </w:tcPr>
          <w:p w:rsidR="00CC7444" w:rsidRPr="00CC7444" w:rsidRDefault="00CC7444"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 xml:space="preserve">ООО </w:t>
            </w:r>
            <w:proofErr w:type="spellStart"/>
            <w:r>
              <w:rPr>
                <w:rFonts w:ascii="Times New Roman CYR" w:hAnsi="Times New Roman CYR" w:cs="Times New Roman CYR"/>
                <w:sz w:val="16"/>
                <w:szCs w:val="16"/>
              </w:rPr>
              <w:t>СК</w:t>
            </w:r>
            <w:proofErr w:type="spellEnd"/>
            <w:r>
              <w:rPr>
                <w:rFonts w:ascii="Times New Roman CYR" w:hAnsi="Times New Roman CYR" w:cs="Times New Roman CYR"/>
                <w:sz w:val="16"/>
                <w:szCs w:val="16"/>
              </w:rPr>
              <w:t xml:space="preserve"> "</w:t>
            </w:r>
            <w:proofErr w:type="spellStart"/>
            <w:r>
              <w:rPr>
                <w:rFonts w:ascii="Times New Roman CYR" w:hAnsi="Times New Roman CYR" w:cs="Times New Roman CYR"/>
                <w:sz w:val="16"/>
                <w:szCs w:val="16"/>
              </w:rPr>
              <w:t>МЭП</w:t>
            </w:r>
            <w:proofErr w:type="spellEnd"/>
            <w:r>
              <w:rPr>
                <w:rFonts w:ascii="Times New Roman CYR" w:hAnsi="Times New Roman CYR" w:cs="Times New Roman CYR"/>
                <w:sz w:val="16"/>
                <w:szCs w:val="16"/>
              </w:rPr>
              <w:t>"</w:t>
            </w:r>
          </w:p>
        </w:tc>
        <w:tc>
          <w:tcPr>
            <w:tcW w:w="3379"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7713777988</w:t>
            </w:r>
          </w:p>
        </w:tc>
        <w:tc>
          <w:tcPr>
            <w:tcW w:w="2050" w:type="dxa"/>
            <w:tcBorders>
              <w:top w:val="single" w:sz="4" w:space="0" w:color="auto"/>
              <w:left w:val="single" w:sz="4" w:space="0" w:color="auto"/>
              <w:bottom w:val="single" w:sz="4" w:space="0" w:color="auto"/>
              <w:right w:val="single" w:sz="4" w:space="0" w:color="auto"/>
            </w:tcBorders>
          </w:tcPr>
          <w:p w:rsidR="00CC7444" w:rsidRPr="00927E73" w:rsidRDefault="00CC7444"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18 976 660,35</w:t>
            </w:r>
          </w:p>
        </w:tc>
        <w:tc>
          <w:tcPr>
            <w:tcW w:w="1696"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center"/>
              <w:rPr>
                <w:rFonts w:eastAsia="Calibri"/>
                <w:snapToGrid/>
                <w:sz w:val="20"/>
                <w:lang w:eastAsia="en-US"/>
              </w:rPr>
            </w:pPr>
          </w:p>
        </w:tc>
      </w:tr>
      <w:tr w:rsidR="00CC7444" w:rsidRPr="00927E73" w:rsidTr="00CC7444">
        <w:tc>
          <w:tcPr>
            <w:tcW w:w="503" w:type="dxa"/>
            <w:tcBorders>
              <w:top w:val="single" w:sz="4" w:space="0" w:color="auto"/>
              <w:left w:val="single" w:sz="4" w:space="0" w:color="auto"/>
              <w:bottom w:val="single" w:sz="4" w:space="0" w:color="auto"/>
              <w:right w:val="single" w:sz="4" w:space="0" w:color="auto"/>
            </w:tcBorders>
          </w:tcPr>
          <w:p w:rsidR="00CC7444" w:rsidRPr="00CC7444" w:rsidRDefault="00CC7444"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ООО «</w:t>
            </w:r>
            <w:proofErr w:type="spellStart"/>
            <w:r>
              <w:rPr>
                <w:rFonts w:ascii="Times New Roman CYR" w:hAnsi="Times New Roman CYR" w:cs="Times New Roman CYR"/>
                <w:sz w:val="16"/>
                <w:szCs w:val="16"/>
              </w:rPr>
              <w:t>ДРСУ</w:t>
            </w:r>
            <w:proofErr w:type="spellEnd"/>
            <w:r>
              <w:rPr>
                <w:rFonts w:ascii="Times New Roman CYR" w:hAnsi="Times New Roman CYR" w:cs="Times New Roman CYR"/>
                <w:sz w:val="16"/>
                <w:szCs w:val="16"/>
              </w:rPr>
              <w:t xml:space="preserve"> № 1»</w:t>
            </w:r>
          </w:p>
        </w:tc>
        <w:tc>
          <w:tcPr>
            <w:tcW w:w="3379"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5024162472</w:t>
            </w:r>
          </w:p>
        </w:tc>
        <w:tc>
          <w:tcPr>
            <w:tcW w:w="2050" w:type="dxa"/>
            <w:tcBorders>
              <w:top w:val="single" w:sz="4" w:space="0" w:color="auto"/>
              <w:left w:val="single" w:sz="4" w:space="0" w:color="auto"/>
              <w:bottom w:val="single" w:sz="4" w:space="0" w:color="auto"/>
              <w:right w:val="single" w:sz="4" w:space="0" w:color="auto"/>
            </w:tcBorders>
          </w:tcPr>
          <w:p w:rsidR="00CC7444" w:rsidRPr="00927E73" w:rsidRDefault="00CC7444"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2 754 419,00</w:t>
            </w:r>
          </w:p>
        </w:tc>
        <w:tc>
          <w:tcPr>
            <w:tcW w:w="1696"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center"/>
              <w:rPr>
                <w:rFonts w:eastAsia="Calibri"/>
                <w:snapToGrid/>
                <w:sz w:val="20"/>
                <w:lang w:eastAsia="en-US"/>
              </w:rPr>
            </w:pPr>
          </w:p>
        </w:tc>
      </w:tr>
      <w:tr w:rsidR="00CC7444" w:rsidRPr="00927E73" w:rsidTr="00CC7444">
        <w:tc>
          <w:tcPr>
            <w:tcW w:w="503" w:type="dxa"/>
            <w:tcBorders>
              <w:top w:val="single" w:sz="4" w:space="0" w:color="auto"/>
              <w:left w:val="single" w:sz="4" w:space="0" w:color="auto"/>
              <w:bottom w:val="single" w:sz="4" w:space="0" w:color="auto"/>
              <w:right w:val="single" w:sz="4" w:space="0" w:color="auto"/>
            </w:tcBorders>
          </w:tcPr>
          <w:p w:rsidR="00CC7444" w:rsidRPr="00CC7444" w:rsidRDefault="00CC7444"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ООО «</w:t>
            </w:r>
            <w:proofErr w:type="spellStart"/>
            <w:r>
              <w:rPr>
                <w:rFonts w:ascii="Times New Roman CYR" w:hAnsi="Times New Roman CYR" w:cs="Times New Roman CYR"/>
                <w:sz w:val="16"/>
                <w:szCs w:val="16"/>
              </w:rPr>
              <w:t>Транскапстрой</w:t>
            </w:r>
            <w:proofErr w:type="spellEnd"/>
            <w:r>
              <w:rPr>
                <w:rFonts w:ascii="Times New Roman CYR" w:hAnsi="Times New Roman CYR" w:cs="Times New Roman CYR"/>
                <w:sz w:val="16"/>
                <w:szCs w:val="16"/>
              </w:rPr>
              <w:t>»</w:t>
            </w:r>
          </w:p>
        </w:tc>
        <w:tc>
          <w:tcPr>
            <w:tcW w:w="3379"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7733628423</w:t>
            </w:r>
          </w:p>
        </w:tc>
        <w:tc>
          <w:tcPr>
            <w:tcW w:w="2050" w:type="dxa"/>
            <w:tcBorders>
              <w:top w:val="single" w:sz="4" w:space="0" w:color="auto"/>
              <w:left w:val="single" w:sz="4" w:space="0" w:color="auto"/>
              <w:bottom w:val="single" w:sz="4" w:space="0" w:color="auto"/>
              <w:right w:val="single" w:sz="4" w:space="0" w:color="auto"/>
            </w:tcBorders>
          </w:tcPr>
          <w:p w:rsidR="00CC7444" w:rsidRPr="00927E73" w:rsidRDefault="00CC7444"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1 764 848,65</w:t>
            </w:r>
          </w:p>
        </w:tc>
        <w:tc>
          <w:tcPr>
            <w:tcW w:w="1696"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center"/>
              <w:rPr>
                <w:rFonts w:eastAsia="Calibri"/>
                <w:snapToGrid/>
                <w:sz w:val="20"/>
                <w:lang w:eastAsia="en-US"/>
              </w:rPr>
            </w:pPr>
          </w:p>
        </w:tc>
      </w:tr>
      <w:tr w:rsidR="00CC7444" w:rsidRPr="00927E73" w:rsidTr="00CC7444">
        <w:tc>
          <w:tcPr>
            <w:tcW w:w="503" w:type="dxa"/>
            <w:tcBorders>
              <w:top w:val="single" w:sz="4" w:space="0" w:color="auto"/>
              <w:left w:val="single" w:sz="4" w:space="0" w:color="auto"/>
              <w:bottom w:val="single" w:sz="4" w:space="0" w:color="auto"/>
              <w:right w:val="single" w:sz="4" w:space="0" w:color="auto"/>
            </w:tcBorders>
          </w:tcPr>
          <w:p w:rsidR="00CC7444" w:rsidRPr="00CC7444" w:rsidRDefault="00CC7444"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АО «Шоссе»</w:t>
            </w:r>
          </w:p>
        </w:tc>
        <w:tc>
          <w:tcPr>
            <w:tcW w:w="3379"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7733008469</w:t>
            </w:r>
          </w:p>
        </w:tc>
        <w:tc>
          <w:tcPr>
            <w:tcW w:w="2050" w:type="dxa"/>
            <w:tcBorders>
              <w:top w:val="single" w:sz="4" w:space="0" w:color="auto"/>
              <w:left w:val="single" w:sz="4" w:space="0" w:color="auto"/>
              <w:bottom w:val="single" w:sz="4" w:space="0" w:color="auto"/>
              <w:right w:val="single" w:sz="4" w:space="0" w:color="auto"/>
            </w:tcBorders>
          </w:tcPr>
          <w:p w:rsidR="00CC7444" w:rsidRPr="00927E73" w:rsidRDefault="00CC7444"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10 800,00</w:t>
            </w:r>
          </w:p>
        </w:tc>
        <w:tc>
          <w:tcPr>
            <w:tcW w:w="1696"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center"/>
              <w:rPr>
                <w:rFonts w:eastAsia="Calibri"/>
                <w:snapToGrid/>
                <w:sz w:val="20"/>
                <w:lang w:eastAsia="en-US"/>
              </w:rPr>
            </w:pPr>
          </w:p>
        </w:tc>
      </w:tr>
      <w:tr w:rsidR="00CC7444" w:rsidRPr="00927E73" w:rsidTr="00CC7444">
        <w:tc>
          <w:tcPr>
            <w:tcW w:w="503" w:type="dxa"/>
            <w:tcBorders>
              <w:top w:val="single" w:sz="4" w:space="0" w:color="auto"/>
              <w:left w:val="single" w:sz="4" w:space="0" w:color="auto"/>
              <w:bottom w:val="single" w:sz="4" w:space="0" w:color="auto"/>
              <w:right w:val="single" w:sz="4" w:space="0" w:color="auto"/>
            </w:tcBorders>
          </w:tcPr>
          <w:p w:rsidR="00CC7444" w:rsidRPr="00CC7444" w:rsidRDefault="00CC7444"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C7444" w:rsidRPr="00927E73" w:rsidRDefault="00EC4E9E"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ООО «</w:t>
            </w:r>
            <w:proofErr w:type="spellStart"/>
            <w:r>
              <w:rPr>
                <w:rFonts w:ascii="Times New Roman CYR" w:hAnsi="Times New Roman CYR" w:cs="Times New Roman CYR"/>
                <w:sz w:val="16"/>
                <w:szCs w:val="16"/>
              </w:rPr>
              <w:t>Строймостпроект</w:t>
            </w:r>
            <w:proofErr w:type="spellEnd"/>
            <w:r>
              <w:rPr>
                <w:rFonts w:ascii="Times New Roman CYR" w:hAnsi="Times New Roman CYR" w:cs="Times New Roman CYR"/>
                <w:sz w:val="16"/>
                <w:szCs w:val="16"/>
              </w:rPr>
              <w:t>»</w:t>
            </w:r>
          </w:p>
        </w:tc>
        <w:tc>
          <w:tcPr>
            <w:tcW w:w="3379" w:type="dxa"/>
            <w:tcBorders>
              <w:top w:val="single" w:sz="4" w:space="0" w:color="auto"/>
              <w:left w:val="single" w:sz="4" w:space="0" w:color="auto"/>
              <w:bottom w:val="single" w:sz="4" w:space="0" w:color="auto"/>
              <w:right w:val="single" w:sz="4" w:space="0" w:color="auto"/>
            </w:tcBorders>
          </w:tcPr>
          <w:p w:rsidR="00CC7444" w:rsidRPr="00927E73" w:rsidRDefault="00EC4E9E"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7810817844</w:t>
            </w:r>
          </w:p>
        </w:tc>
        <w:tc>
          <w:tcPr>
            <w:tcW w:w="2050" w:type="dxa"/>
            <w:tcBorders>
              <w:top w:val="single" w:sz="4" w:space="0" w:color="auto"/>
              <w:left w:val="single" w:sz="4" w:space="0" w:color="auto"/>
              <w:bottom w:val="single" w:sz="4" w:space="0" w:color="auto"/>
              <w:right w:val="single" w:sz="4" w:space="0" w:color="auto"/>
            </w:tcBorders>
          </w:tcPr>
          <w:p w:rsidR="00CC7444" w:rsidRPr="00927E73" w:rsidRDefault="00EC4E9E"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210 509,54</w:t>
            </w:r>
          </w:p>
        </w:tc>
        <w:tc>
          <w:tcPr>
            <w:tcW w:w="1696" w:type="dxa"/>
            <w:tcBorders>
              <w:top w:val="single" w:sz="4" w:space="0" w:color="auto"/>
              <w:left w:val="single" w:sz="4" w:space="0" w:color="auto"/>
              <w:bottom w:val="single" w:sz="4" w:space="0" w:color="auto"/>
              <w:right w:val="single" w:sz="4" w:space="0" w:color="auto"/>
            </w:tcBorders>
          </w:tcPr>
          <w:p w:rsidR="00CC7444" w:rsidRPr="00927E73" w:rsidRDefault="00CC7444" w:rsidP="00EF1211">
            <w:pPr>
              <w:snapToGrid w:val="0"/>
              <w:spacing w:line="240" w:lineRule="auto"/>
              <w:ind w:firstLine="0"/>
              <w:jc w:val="center"/>
              <w:rPr>
                <w:rFonts w:eastAsia="Calibri"/>
                <w:snapToGrid/>
                <w:sz w:val="20"/>
                <w:lang w:eastAsia="en-US"/>
              </w:rPr>
            </w:pPr>
          </w:p>
        </w:tc>
      </w:tr>
      <w:tr w:rsidR="00C90759" w:rsidRPr="00927E73" w:rsidTr="008648C8">
        <w:tc>
          <w:tcPr>
            <w:tcW w:w="503" w:type="dxa"/>
            <w:tcBorders>
              <w:top w:val="single" w:sz="4" w:space="0" w:color="auto"/>
              <w:left w:val="single" w:sz="4" w:space="0" w:color="auto"/>
              <w:bottom w:val="single" w:sz="4" w:space="0" w:color="auto"/>
              <w:right w:val="single" w:sz="4" w:space="0" w:color="auto"/>
            </w:tcBorders>
          </w:tcPr>
          <w:p w:rsidR="00C90759" w:rsidRPr="00CC7444" w:rsidRDefault="00C90759" w:rsidP="00CC7444">
            <w:pPr>
              <w:pStyle w:val="a5"/>
              <w:numPr>
                <w:ilvl w:val="0"/>
                <w:numId w:val="2"/>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C90759" w:rsidRPr="00C90759" w:rsidRDefault="00EC4E9E"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ООО «Приток-Мост»</w:t>
            </w:r>
          </w:p>
        </w:tc>
        <w:tc>
          <w:tcPr>
            <w:tcW w:w="3379" w:type="dxa"/>
            <w:tcBorders>
              <w:top w:val="single" w:sz="4" w:space="0" w:color="auto"/>
              <w:left w:val="single" w:sz="4" w:space="0" w:color="auto"/>
              <w:bottom w:val="single" w:sz="4" w:space="0" w:color="auto"/>
              <w:right w:val="single" w:sz="4" w:space="0" w:color="auto"/>
            </w:tcBorders>
          </w:tcPr>
          <w:p w:rsidR="00C90759" w:rsidRPr="00927E73" w:rsidRDefault="00EC4E9E" w:rsidP="00EF1211">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6231051148</w:t>
            </w:r>
          </w:p>
        </w:tc>
        <w:tc>
          <w:tcPr>
            <w:tcW w:w="2050" w:type="dxa"/>
            <w:tcBorders>
              <w:top w:val="single" w:sz="4" w:space="0" w:color="auto"/>
              <w:left w:val="single" w:sz="4" w:space="0" w:color="auto"/>
              <w:bottom w:val="single" w:sz="4" w:space="0" w:color="auto"/>
              <w:right w:val="single" w:sz="4" w:space="0" w:color="auto"/>
            </w:tcBorders>
          </w:tcPr>
          <w:p w:rsidR="00C90759" w:rsidRPr="004F2051" w:rsidRDefault="00EC4E9E" w:rsidP="00EC4E9E">
            <w:pPr>
              <w:snapToGrid w:val="0"/>
              <w:spacing w:line="240" w:lineRule="auto"/>
              <w:ind w:firstLine="0"/>
              <w:jc w:val="left"/>
              <w:rPr>
                <w:rFonts w:eastAsia="Calibri"/>
                <w:snapToGrid/>
                <w:sz w:val="20"/>
                <w:lang w:eastAsia="en-US"/>
              </w:rPr>
            </w:pPr>
            <w:r>
              <w:rPr>
                <w:rFonts w:ascii="Times New Roman CYR" w:hAnsi="Times New Roman CYR" w:cs="Times New Roman CYR"/>
                <w:sz w:val="16"/>
                <w:szCs w:val="16"/>
              </w:rPr>
              <w:t>869 767,06</w:t>
            </w:r>
          </w:p>
        </w:tc>
        <w:tc>
          <w:tcPr>
            <w:tcW w:w="1696" w:type="dxa"/>
            <w:tcBorders>
              <w:top w:val="single" w:sz="4" w:space="0" w:color="auto"/>
              <w:left w:val="single" w:sz="4" w:space="0" w:color="auto"/>
              <w:bottom w:val="single" w:sz="4" w:space="0" w:color="auto"/>
              <w:right w:val="single" w:sz="4" w:space="0" w:color="auto"/>
            </w:tcBorders>
          </w:tcPr>
          <w:p w:rsidR="00C90759" w:rsidRPr="004F2051" w:rsidRDefault="00C90759" w:rsidP="00EF1211">
            <w:pPr>
              <w:snapToGrid w:val="0"/>
              <w:spacing w:line="240" w:lineRule="auto"/>
              <w:ind w:firstLine="0"/>
              <w:jc w:val="center"/>
              <w:rPr>
                <w:rFonts w:eastAsia="Calibri"/>
                <w:snapToGrid/>
                <w:sz w:val="20"/>
                <w:lang w:eastAsia="en-US"/>
              </w:rPr>
            </w:pP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1</w:t>
      </w:r>
      <w:r w:rsidR="00EC4E9E">
        <w:rPr>
          <w:snapToGrid/>
          <w:color w:val="000000"/>
          <w:sz w:val="20"/>
        </w:rPr>
        <w:t>9</w:t>
      </w:r>
      <w:r w:rsidR="00306CFF">
        <w:rPr>
          <w:snapToGrid/>
          <w:color w:val="000000"/>
          <w:sz w:val="20"/>
        </w:rPr>
        <w:t xml:space="preserve">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w:t>
      </w:r>
      <w:r w:rsidRPr="00927E73">
        <w:rPr>
          <w:snapToGrid/>
          <w:sz w:val="20"/>
          <w:lang w:eastAsia="en-US"/>
        </w:rPr>
        <w:lastRenderedPageBreak/>
        <w:t>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C90759" w:rsidP="00EF1211">
            <w:pPr>
              <w:snapToGrid w:val="0"/>
              <w:spacing w:line="240" w:lineRule="auto"/>
              <w:ind w:firstLine="0"/>
              <w:rPr>
                <w:bCs/>
                <w:sz w:val="20"/>
              </w:rPr>
            </w:pPr>
            <w:r w:rsidRPr="00C90759">
              <w:rPr>
                <w:bCs/>
                <w:sz w:val="20"/>
              </w:rPr>
              <w:t xml:space="preserve">Конкурсный управляющий </w:t>
            </w:r>
            <w:r w:rsidR="00EC4E9E" w:rsidRPr="00EC4E9E">
              <w:rPr>
                <w:bCs/>
                <w:sz w:val="20"/>
              </w:rPr>
              <w:t>Конкурсный управляющий ООО "</w:t>
            </w:r>
            <w:proofErr w:type="spellStart"/>
            <w:r w:rsidR="00EC4E9E" w:rsidRPr="00EC4E9E">
              <w:rPr>
                <w:bCs/>
                <w:sz w:val="20"/>
              </w:rPr>
              <w:t>СК</w:t>
            </w:r>
            <w:proofErr w:type="spellEnd"/>
            <w:r w:rsidR="00EC4E9E" w:rsidRPr="00EC4E9E">
              <w:rPr>
                <w:bCs/>
                <w:sz w:val="20"/>
              </w:rPr>
              <w:t xml:space="preserve"> КИТ" ИНН: 7715979517, </w:t>
            </w:r>
            <w:proofErr w:type="spellStart"/>
            <w:r w:rsidR="00EC4E9E" w:rsidRPr="00EC4E9E">
              <w:rPr>
                <w:bCs/>
                <w:sz w:val="20"/>
              </w:rPr>
              <w:t>ОГРН</w:t>
            </w:r>
            <w:proofErr w:type="spellEnd"/>
            <w:r w:rsidR="00EC4E9E" w:rsidRPr="00EC4E9E">
              <w:rPr>
                <w:bCs/>
                <w:sz w:val="20"/>
              </w:rPr>
              <w:t>: 1137746982086 (адрес: 127106, г. Москва, ул. Гостиничная, д. 4, корп. 9) Прудников Алексей Владимирович (</w:t>
            </w:r>
            <w:proofErr w:type="spellStart"/>
            <w:r w:rsidR="00EC4E9E" w:rsidRPr="00EC4E9E">
              <w:rPr>
                <w:bCs/>
                <w:sz w:val="20"/>
              </w:rPr>
              <w:t>СНИЛС</w:t>
            </w:r>
            <w:proofErr w:type="spellEnd"/>
            <w:r w:rsidR="00EC4E9E" w:rsidRPr="00EC4E9E">
              <w:rPr>
                <w:bCs/>
                <w:sz w:val="20"/>
              </w:rPr>
              <w:t xml:space="preserve"> 074-079-316-71; ИНН 772640978998)</w:t>
            </w:r>
          </w:p>
          <w:p w:rsidR="00EC4E9E" w:rsidRDefault="00EC4E9E" w:rsidP="00EF1211">
            <w:pPr>
              <w:snapToGrid w:val="0"/>
              <w:spacing w:line="240" w:lineRule="auto"/>
              <w:ind w:firstLine="0"/>
              <w:rPr>
                <w:bCs/>
                <w:sz w:val="20"/>
              </w:rPr>
            </w:pPr>
            <w:r w:rsidRPr="00EC4E9E">
              <w:rPr>
                <w:bCs/>
                <w:sz w:val="20"/>
              </w:rPr>
              <w:t>Получатель: ООО "</w:t>
            </w:r>
            <w:proofErr w:type="spellStart"/>
            <w:r w:rsidRPr="00EC4E9E">
              <w:rPr>
                <w:bCs/>
                <w:sz w:val="20"/>
              </w:rPr>
              <w:t>СК</w:t>
            </w:r>
            <w:proofErr w:type="spellEnd"/>
            <w:r w:rsidRPr="00EC4E9E">
              <w:rPr>
                <w:bCs/>
                <w:sz w:val="20"/>
              </w:rPr>
              <w:t xml:space="preserve"> КИТ" (ИНН: 7715979517), рас. счет 40702810500040000075, Банк получателя ООО </w:t>
            </w:r>
            <w:proofErr w:type="spellStart"/>
            <w:r w:rsidRPr="00EC4E9E">
              <w:rPr>
                <w:bCs/>
                <w:sz w:val="20"/>
              </w:rPr>
              <w:t>МИБ</w:t>
            </w:r>
            <w:proofErr w:type="spellEnd"/>
            <w:r w:rsidRPr="00EC4E9E">
              <w:rPr>
                <w:bCs/>
                <w:sz w:val="20"/>
              </w:rPr>
              <w:t xml:space="preserve"> "</w:t>
            </w:r>
            <w:proofErr w:type="spellStart"/>
            <w:r w:rsidRPr="00EC4E9E">
              <w:rPr>
                <w:bCs/>
                <w:sz w:val="20"/>
              </w:rPr>
              <w:t>ДАЛЕНА</w:t>
            </w:r>
            <w:proofErr w:type="spellEnd"/>
            <w:r w:rsidRPr="00EC4E9E">
              <w:rPr>
                <w:bCs/>
                <w:sz w:val="20"/>
              </w:rPr>
              <w:t>" (</w:t>
            </w:r>
            <w:proofErr w:type="spellStart"/>
            <w:r w:rsidRPr="00EC4E9E">
              <w:rPr>
                <w:bCs/>
                <w:sz w:val="20"/>
              </w:rPr>
              <w:t>БИК</w:t>
            </w:r>
            <w:proofErr w:type="spellEnd"/>
            <w:r w:rsidRPr="00EC4E9E">
              <w:rPr>
                <w:bCs/>
                <w:sz w:val="20"/>
              </w:rPr>
              <w:t xml:space="preserve"> 044525371, </w:t>
            </w:r>
            <w:proofErr w:type="spellStart"/>
            <w:r w:rsidRPr="00EC4E9E">
              <w:rPr>
                <w:bCs/>
                <w:sz w:val="20"/>
              </w:rPr>
              <w:t>кор</w:t>
            </w:r>
            <w:proofErr w:type="spellEnd"/>
            <w:r w:rsidRPr="00EC4E9E">
              <w:rPr>
                <w:bCs/>
                <w:sz w:val="20"/>
              </w:rPr>
              <w:t>. счет 30101810845250000371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EC4E9E" w:rsidP="00EF1211">
            <w:pPr>
              <w:snapToGrid w:val="0"/>
              <w:spacing w:line="240" w:lineRule="auto"/>
              <w:ind w:firstLine="0"/>
              <w:rPr>
                <w:bCs/>
                <w:sz w:val="20"/>
              </w:rPr>
            </w:pPr>
            <w:r>
              <w:rPr>
                <w:bCs/>
                <w:sz w:val="20"/>
              </w:rPr>
              <w:t>ООО</w:t>
            </w:r>
            <w:bookmarkStart w:id="0" w:name="_GoBack"/>
            <w:bookmarkEnd w:id="0"/>
            <w:r>
              <w:rPr>
                <w:bCs/>
                <w:sz w:val="20"/>
              </w:rPr>
              <w:t xml:space="preserve"> «</w:t>
            </w:r>
            <w:proofErr w:type="spellStart"/>
            <w:r>
              <w:rPr>
                <w:bCs/>
                <w:sz w:val="20"/>
              </w:rPr>
              <w:t>СК</w:t>
            </w:r>
            <w:proofErr w:type="spellEnd"/>
            <w:r>
              <w:rPr>
                <w:bCs/>
                <w:sz w:val="20"/>
              </w:rPr>
              <w:t xml:space="preserve"> КИТ»</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EC4E9E">
            <w:pPr>
              <w:snapToGrid w:val="0"/>
              <w:spacing w:line="240" w:lineRule="auto"/>
              <w:ind w:firstLine="0"/>
              <w:rPr>
                <w:rFonts w:eastAsia="Calibri"/>
                <w:b/>
                <w:snapToGrid/>
                <w:sz w:val="20"/>
              </w:rPr>
            </w:pPr>
            <w:r>
              <w:rPr>
                <w:bCs/>
                <w:sz w:val="20"/>
              </w:rPr>
              <w:t>______________________</w:t>
            </w:r>
            <w:proofErr w:type="spellStart"/>
            <w:r>
              <w:rPr>
                <w:bCs/>
                <w:sz w:val="20"/>
              </w:rPr>
              <w:t>А.В</w:t>
            </w:r>
            <w:proofErr w:type="spellEnd"/>
            <w:r>
              <w:rPr>
                <w:bCs/>
                <w:sz w:val="20"/>
              </w:rPr>
              <w:t xml:space="preserve">. </w:t>
            </w:r>
            <w:r w:rsidR="00EC4E9E">
              <w:rPr>
                <w:bCs/>
                <w:sz w:val="20"/>
              </w:rPr>
              <w:t>Прудников</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7DD9"/>
    <w:multiLevelType w:val="hybridMultilevel"/>
    <w:tmpl w:val="71E02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8648C8"/>
    <w:rsid w:val="00925225"/>
    <w:rsid w:val="009A456D"/>
    <w:rsid w:val="009F102D"/>
    <w:rsid w:val="00C90759"/>
    <w:rsid w:val="00CC7444"/>
    <w:rsid w:val="00CD3CC9"/>
    <w:rsid w:val="00D16FC1"/>
    <w:rsid w:val="00E975AD"/>
    <w:rsid w:val="00EB7058"/>
    <w:rsid w:val="00EC4E9E"/>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C085"/>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CC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Овчинников</cp:lastModifiedBy>
  <cp:revision>2</cp:revision>
  <cp:lastPrinted>2018-04-02T09:21:00Z</cp:lastPrinted>
  <dcterms:created xsi:type="dcterms:W3CDTF">2019-01-24T07:52:00Z</dcterms:created>
  <dcterms:modified xsi:type="dcterms:W3CDTF">2019-01-24T07:52:00Z</dcterms:modified>
</cp:coreProperties>
</file>