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jc w:val="right"/>
        <w:pStyle w:val="0"/>
        <w:rPr>
          <w:b w:val="1"/>
        </w:rPr>
      </w:pPr>
      <w:r>
        <w:rPr>
          <w:b w:val="1"/>
        </w:rPr>
        <w:t>Проект</w:t>
      </w:r>
    </w:p>
    <w:p>
      <w:pPr>
        <w:jc w:val="center"/>
        <w:pStyle w:val="0"/>
        <w:rPr>
          <w:b w:val="1"/>
        </w:rPr>
      </w:pPr>
      <w:r>
        <w:rPr>
          <w:b w:val="1"/>
        </w:rPr>
        <w:t>Договор</w:t>
      </w:r>
    </w:p>
    <w:p>
      <w:pPr>
        <w:jc w:val="center"/>
        <w:pStyle w:val="0"/>
        <w:rPr>
          <w:b w:val="1"/>
        </w:rPr>
      </w:pPr>
      <w:r>
        <w:rPr>
          <w:b w:val="1"/>
        </w:rPr>
        <w:t xml:space="preserve">уступки права требования (цессии) </w:t>
      </w:r>
    </w:p>
    <w:p>
      <w:pPr>
        <w:pStyle w:val="0"/>
        <w:rPr>
          <w:b w:val="1"/>
        </w:rPr>
      </w:pPr>
      <w:r>
        <w:rPr>
          <w:b w:val="1"/>
        </w:rPr>
        <w:t xml:space="preserve">г. Тверь </w:t>
        <w:tab/>
        <w:tab/>
        <w:t xml:space="preserve">                                                                                      «___» ________ 2016 года</w:t>
      </w:r>
    </w:p>
    <w:p>
      <w:pPr>
        <w:jc w:val="both"/>
        <w:pStyle w:val="19"/>
        <w:rPr>
          <w:rFonts w:hAnsi="Times New Roman" w:ascii="Times New Roman"/>
          <w:sz w:val="22"/>
        </w:rPr>
      </w:pPr>
      <w:r>
        <w:rPr>
          <w:rFonts w:hAnsi="Times New Roman" w:ascii="Times New Roman"/>
          <w:sz w:val="22"/>
        </w:rPr>
        <w:t xml:space="preserve">Общество с ограниченной ответственностью "Производственная Компания "ТЕПЛОЭНЕРГОСБЫТ" именуемое в дальнейшем «Продавец», в лице конкурсного управляющего Жирехиной Анжелики Геннадьевны, именуемое в дальнейшем «Организатор», действующего на основании Решения Арбитражного суда Тверской области от 17.10.2011г. по делу №А66-9175/2011, именуемое в дальнейшем «</w:t>
      </w:r>
      <w:r>
        <w:rPr>
          <w:rFonts w:hAnsi="Times New Roman" w:ascii="Times New Roman"/>
          <w:sz w:val="22"/>
          <w:b w:val="1"/>
        </w:rPr>
        <w:t>Цедент</w:t>
      </w:r>
      <w:r>
        <w:rPr>
          <w:rFonts w:hAnsi="Times New Roman" w:ascii="Times New Roman"/>
          <w:sz w:val="22"/>
        </w:rPr>
        <w:t xml:space="preserve">», с одной стороны и ____________________________________________________, именуемый в дальнейшем </w:t>
      </w:r>
      <w:r>
        <w:rPr>
          <w:rFonts w:hAnsi="Times New Roman" w:ascii="Times New Roman"/>
          <w:sz w:val="22"/>
          <w:b w:val="1"/>
        </w:rPr>
        <w:t>«Цессионарий»</w:t>
      </w:r>
      <w:r>
        <w:rPr>
          <w:rFonts w:hAnsi="Times New Roman" w:ascii="Times New Roman"/>
          <w:sz w:val="22"/>
        </w:rPr>
        <w:t xml:space="preserve"> с другой стороны, а вместе именуемые  «Стороны»,  </w:t>
      </w:r>
    </w:p>
    <w:p>
      <w:pPr>
        <w:jc w:val="both"/>
        <w:ind w:firstLine="0"/>
        <w:pStyle w:val="19"/>
        <w:rPr>
          <w:rFonts w:hAnsi="Times New Roman" w:ascii="Times New Roman"/>
          <w:sz w:val="24"/>
          <w:b w:val="1"/>
        </w:rPr>
      </w:pPr>
      <w:r>
        <w:rPr>
          <w:rFonts w:hAnsi="Times New Roman" w:ascii="Times New Roman"/>
          <w:sz w:val="22"/>
          <w:b w:val="1"/>
        </w:rPr>
        <w:t xml:space="preserve">на основании Протокола</w:t>
      </w:r>
      <w:r>
        <w:rPr>
          <w:rFonts w:hAnsi="Times New Roman" w:ascii="Times New Roman"/>
          <w:sz w:val="24"/>
          <w:b w:val="1"/>
        </w:rPr>
        <w:t xml:space="preserve"> № ________________________ о результатах открытых торгов по продаже имущества ООО "ПК "ТЕПЛОЭНЕРГОСБЫТ" от ______________2016г.</w:t>
      </w:r>
    </w:p>
    <w:p>
      <w:pPr>
        <w:jc w:val="both"/>
        <w:pStyle w:val="0"/>
      </w:pPr>
      <w:r>
        <w:t xml:space="preserve">заключили настоящий договор о нижеследующем:</w:t>
      </w:r>
    </w:p>
    <w:p>
      <w:pPr>
        <w:pStyle w:val="0"/>
      </w:pPr>
    </w:p>
    <w:p>
      <w:pPr>
        <w:jc w:val="center"/>
        <w:pStyle w:val="0"/>
        <w:rPr>
          <w:b w:val="1"/>
        </w:rPr>
      </w:pPr>
      <w:r>
        <w:rPr>
          <w:b w:val="1"/>
        </w:rPr>
        <w:t xml:space="preserve">1. Предмет Договора</w:t>
      </w:r>
    </w:p>
    <w:p>
      <w:pPr>
        <w:jc w:val="both"/>
        <w:pStyle w:val="0"/>
      </w:pPr>
      <w:r>
        <w:tab/>
        <w:t xml:space="preserve">1.1. Цедент передает Цессионарию в полном объеме п</w:t>
      </w:r>
      <w:r>
        <w:rPr>
          <w:shd w:fill="ffffff"/>
        </w:rPr>
        <w:t xml:space="preserve">раво требования дебиторской задолженности О</w:t>
      </w:r>
      <w:r>
        <w:t xml:space="preserve">ОО "ПК "ТЕПЛОЭНЕРГОС</w:t>
      </w:r>
      <w:r>
        <w:rPr>
          <w:sz w:val="22"/>
        </w:rPr>
        <w:t xml:space="preserve">БЫТ" от</w:t>
      </w:r>
      <w:r>
        <w:rPr>
          <w:rFonts w:hAnsi="Pragmatica Cond Book Cyr" w:ascii="Pragmatica Cond Book Cyr"/>
        </w:rPr>
        <w:t xml:space="preserve"> </w:t>
      </w:r>
      <w:r>
        <w:rPr>
          <w:sz w:val="22"/>
        </w:rPr>
        <w:t xml:space="preserve">Филиппова Сергея Викторовича в размере 5 380 934,15 рублей (далее</w:t>
      </w:r>
      <w:r>
        <w:t xml:space="preserve"> – право требования), а Цессионарий обязуется принять и оплатить указанное право требования по цене указанной в пункте 2.1. настоящего Договора.</w:t>
      </w:r>
    </w:p>
    <w:p>
      <w:pPr>
        <w:jc w:val="both"/>
        <w:pStyle w:val="0"/>
      </w:pPr>
      <w:r>
        <w:tab/>
        <w:t xml:space="preserve">1.2. Настоящий Договор заключен на основании  Протокола № _________________ о результатах открытых торгов по продаже имущества ООО "ПК "ТЕПЛОЭНЕРГОСБЫТ" от __________ 2016 года (далее по тексту - Протокол от ______ 2016 года).</w:t>
      </w:r>
    </w:p>
    <w:p>
      <w:pPr>
        <w:jc w:val="both"/>
        <w:pStyle w:val="0"/>
      </w:pPr>
      <w:r>
        <w:tab/>
        <w:t xml:space="preserve">1.3.  Передаваемое по настоящему Договору право требования возникает у Цессионария с момента его полной и своевременной оплаты в порядке и в сроки, предусмотренные п. 2.2 и п. 2.3 настоящего Договора.</w:t>
      </w:r>
    </w:p>
    <w:p>
      <w:pPr>
        <w:jc w:val="both"/>
        <w:pStyle w:val="0"/>
      </w:pPr>
      <w:r>
        <w:tab/>
        <w:t xml:space="preserve">1.4. Права требования, реализованные на торгах, переходят к ЦЕССИОНАРИЮ в том же объеме, которые имел Цедент на дату проведения торгов.</w:t>
      </w:r>
    </w:p>
    <w:p>
      <w:pPr>
        <w:jc w:val="both"/>
        <w:pStyle w:val="0"/>
      </w:pPr>
    </w:p>
    <w:p>
      <w:pPr>
        <w:jc w:val="center"/>
        <w:pStyle w:val="0"/>
        <w:rPr>
          <w:b w:val="1"/>
        </w:rPr>
      </w:pPr>
      <w:r>
        <w:rPr>
          <w:b w:val="1"/>
        </w:rPr>
        <w:t xml:space="preserve">2. Цена договора и порядок расчетов</w:t>
      </w:r>
    </w:p>
    <w:p>
      <w:pPr>
        <w:jc w:val="both"/>
        <w:ind w:firstLine="708"/>
        <w:pStyle w:val="0"/>
      </w:pPr>
      <w:r>
        <w:t xml:space="preserve">2.1 Цена права требования составляет ______________________________ рублей.</w:t>
      </w:r>
    </w:p>
    <w:p>
      <w:pPr>
        <w:ind w:firstLine="720"/>
        <w:rPr>
          <w:sz w:val="24"/>
        </w:rPr>
      </w:pPr>
      <w:r>
        <w:rPr>
          <w:sz w:val="24"/>
        </w:rPr>
        <w:t xml:space="preserve">Цена установлена согласно Протокола № _________________ о результатах открытых торгов по продаже имущества </w:t>
      </w:r>
      <w:r>
        <w:t xml:space="preserve">ООО "ПК "ТЕПЛОЭНЕРГОСБЫТ" </w:t>
      </w:r>
      <w:r>
        <w:rPr>
          <w:sz w:val="24"/>
        </w:rPr>
        <w:t xml:space="preserve">от __________ 2016 года.</w:t>
      </w:r>
    </w:p>
    <w:p>
      <w:pPr>
        <w:jc w:val="both"/>
        <w:ind w:firstLine="708"/>
        <w:pStyle w:val="0"/>
      </w:pPr>
      <w:r>
        <w:t>2.2.</w:t>
      </w:r>
      <w:r>
        <w:rPr>
          <w:sz w:val="22"/>
        </w:rPr>
        <w:t xml:space="preserve"> </w:t>
      </w:r>
      <w:r>
        <w:t xml:space="preserve">Покупатель производит оплату стоимости имущества путем перечисления денежных средств на расчетный счет Продавца, указанный в Разделе 6 настоящего Договора в течение 30 (тридцати) календарных дней с момента подписания Сторонами настоящего договора.</w:t>
      </w:r>
    </w:p>
    <w:p>
      <w:pPr>
        <w:jc w:val="both"/>
        <w:ind w:firstLine="708"/>
        <w:pStyle w:val="0"/>
      </w:pPr>
      <w:r>
        <w:t xml:space="preserve">2.3. Моментом оплаты денежных средств, указанных в п. 2.1 настоящего Договора, считается день поступления денежных средств на расчетный счет Цедента.</w:t>
      </w:r>
    </w:p>
    <w:p>
      <w:pPr>
        <w:jc w:val="both"/>
        <w:ind w:firstLine="708"/>
        <w:pStyle w:val="0"/>
      </w:pPr>
      <w:r>
        <w:t xml:space="preserve">2.4. Факт оплаты денежных средств, указанных в п. 2.1 настоящего Договора, удостоверяется платежным поручением ЦЕССИОНАРИЯ с отметкой банка о его выполнении и подтверждается выписками с расчетного счета ЦЕДЕНТА о поступлении денежных средств в оплату права требования. В платежном поручении ЦЕССИОНАРИЕМ дается ссылка на настоящий Договор купли-продажи.</w:t>
      </w:r>
    </w:p>
    <w:p>
      <w:pPr>
        <w:jc w:val="both"/>
        <w:ind w:firstLine="708"/>
        <w:pStyle w:val="0"/>
      </w:pPr>
      <w:r>
        <w:t xml:space="preserve">2.5. В случае  если ЦЕССИОНАРИЙ не оплатит полную стоимость права требования в порядке и в сроки, предусмотренные п. 2.2 и п. 2.3 настоящего Договора, он лишается права на приобретение права требования.</w:t>
      </w:r>
    </w:p>
    <w:p>
      <w:pPr>
        <w:jc w:val="both"/>
        <w:ind w:firstLine="708"/>
        <w:pStyle w:val="0"/>
      </w:pPr>
      <w:r>
        <w:t xml:space="preserve">2.6. В указанном выше случае настоящий Договор расторгается в одностороннем порядке путем направления ЦЕДЕНТОМ в адрес ЦЕССИОНАРИЯ письменного извещения о расторжении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сторонами дополнительного соглашения о расторжении Договора не требуется.</w:t>
      </w:r>
    </w:p>
    <w:p>
      <w:pPr>
        <w:jc w:val="center"/>
        <w:pStyle w:val="0"/>
        <w:rPr>
          <w:b w:val="1"/>
        </w:rPr>
      </w:pPr>
    </w:p>
    <w:p>
      <w:pPr>
        <w:jc w:val="center"/>
        <w:pStyle w:val="0"/>
        <w:rPr>
          <w:b w:val="1"/>
        </w:rPr>
      </w:pPr>
      <w:r>
        <w:rPr>
          <w:b w:val="1"/>
        </w:rPr>
        <w:t xml:space="preserve">3. Обязанности Сторон</w:t>
      </w:r>
    </w:p>
    <w:p>
      <w:pPr>
        <w:jc w:val="both"/>
        <w:ind w:firstLine="708"/>
        <w:pStyle w:val="0"/>
      </w:pPr>
      <w:r>
        <w:t xml:space="preserve">3.1. Цедент обязуется: представить Цессионарию документы по Передаточному акту, подтверждающие задолженность Должника перед Цедентом одновременно с подписанием настоящего Договора; в случае необходимости представить Цессионарию дополнительные документы, подтверждающие его права по указанному договору.</w:t>
      </w:r>
    </w:p>
    <w:p>
      <w:pPr>
        <w:jc w:val="both"/>
        <w:ind w:firstLine="708"/>
        <w:pStyle w:val="0"/>
      </w:pPr>
      <w:r>
        <w:t xml:space="preserve">3.2. Цессионарий обязуется:</w:t>
      </w:r>
    </w:p>
    <w:p>
      <w:pPr>
        <w:jc w:val="both"/>
        <w:pStyle w:val="0"/>
      </w:pPr>
      <w:r>
        <w:t xml:space="preserve">оплатить Цеденту денежные средства в порядке и сроки, предусмотренные настоящим Договором, уведомлять Должника обо всех изменениях и дополнениях, внесенных в настоящий Договор, известить Должников о переходе права требования от Цедента к Цессионарию в течение 5-ти рабочих дней с момента подписания настоящего Договора.</w:t>
      </w:r>
    </w:p>
    <w:p>
      <w:pPr>
        <w:pStyle w:val="0"/>
      </w:pPr>
    </w:p>
    <w:p>
      <w:pPr>
        <w:jc w:val="center"/>
        <w:pStyle w:val="0"/>
        <w:rPr>
          <w:b w:val="1"/>
        </w:rPr>
      </w:pPr>
      <w:r>
        <w:rPr>
          <w:b w:val="1"/>
        </w:rPr>
        <w:t xml:space="preserve">4. Ответственность Сторон</w:t>
      </w:r>
    </w:p>
    <w:p>
      <w:pPr>
        <w:jc w:val="both"/>
        <w:ind w:firstLine="708"/>
        <w:pStyle w:val="0"/>
      </w:pPr>
      <w:r>
        <w:t xml:space="preserve">4.1. Стороны несут ответственность за неисполнение или ненадлежащее исполнение своих обязательств в соответствии с действующим законодательством.</w:t>
      </w:r>
    </w:p>
    <w:p>
      <w:pPr>
        <w:jc w:val="both"/>
        <w:ind w:firstLine="708"/>
        <w:pStyle w:val="0"/>
      </w:pPr>
      <w:r>
        <w:t xml:space="preserve">4.2. Неисполнение ЦЕССИОНАРИЕМ обязательств по оплате стоимости права требования в порядке и в сроки, указанные в п. 2.2 и п. 2.3 настоящего Договора, влечет за собой наступление последствий, предусмотренных в п. 2.5 настоящего Договора.</w:t>
      </w:r>
    </w:p>
    <w:p>
      <w:pPr>
        <w:jc w:val="both"/>
        <w:ind w:firstLine="708"/>
        <w:pStyle w:val="0"/>
      </w:pPr>
      <w:r>
        <w:t xml:space="preserve">4.3. СТОРОНЫ освобождаются от ответственности за частичное или полное неисполнение обязательств по настоящему Договору, если данное неисполнение явилось следствием обстоятельств непреодолимой силы (форс-мажор), в том числе изменение законодательства, решений органов власти, стихийных бедствий, социальных конфликтов, возникших после подписания настоящего Договора, которые ни одна из СТОРОН не могла предотвратить разумными мерами.</w:t>
      </w:r>
    </w:p>
    <w:p>
      <w:pPr>
        <w:jc w:val="both"/>
        <w:ind w:firstLine="708"/>
        <w:pStyle w:val="0"/>
      </w:pPr>
      <w:r>
        <w:t xml:space="preserve">4.4. В иных случаях, не предусмотренных настоящим Договором, СТОРОНЫ несут ответственность, установленную действующим законодательством РФ.</w:t>
      </w:r>
    </w:p>
    <w:p>
      <w:pPr>
        <w:pStyle w:val="0"/>
      </w:pPr>
    </w:p>
    <w:p>
      <w:pPr>
        <w:jc w:val="center"/>
        <w:pStyle w:val="0"/>
        <w:rPr>
          <w:b w:val="1"/>
        </w:rPr>
      </w:pPr>
      <w:r>
        <w:rPr>
          <w:b w:val="1"/>
        </w:rPr>
        <w:t xml:space="preserve">5. Заключительные положения</w:t>
      </w:r>
    </w:p>
    <w:p>
      <w:pPr>
        <w:jc w:val="both"/>
        <w:ind w:firstLine="708"/>
        <w:pStyle w:val="0"/>
      </w:pPr>
      <w:r>
        <w:t xml:space="preserve">5.1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>
      <w:pPr>
        <w:jc w:val="both"/>
        <w:ind w:firstLine="708"/>
        <w:pStyle w:val="0"/>
      </w:pPr>
      <w:r>
        <w:t xml:space="preserve">5.2. Изменения и дополнения в настоящий Договор вносятся дополнительным соглашением СТОРОН, выполненным в письменной форме и подписанным обеими СТОРОНАМИ. </w:t>
      </w:r>
    </w:p>
    <w:p>
      <w:pPr>
        <w:jc w:val="both"/>
        <w:ind w:firstLine="708"/>
        <w:pStyle w:val="0"/>
      </w:pPr>
      <w:r>
        <w:t xml:space="preserve">5.3.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>
      <w:pPr>
        <w:jc w:val="both"/>
        <w:ind w:firstLine="708"/>
        <w:pStyle w:val="0"/>
      </w:pPr>
      <w:r>
        <w:t xml:space="preserve">5.4. Во всем, что не предусмотрено настоящим Договором, стороны руководствуются действующим законодательством РФ.</w:t>
      </w:r>
    </w:p>
    <w:p>
      <w:pPr>
        <w:jc w:val="both"/>
        <w:ind w:firstLine="708"/>
        <w:pStyle w:val="0"/>
      </w:pPr>
      <w:r>
        <w:t xml:space="preserve">5.5. Споры, вытекающие из настоящего Договора, подлежат рассмотрению в суде в порядке, предусмотренном действующим законодательством РФ.</w:t>
      </w:r>
    </w:p>
    <w:p>
      <w:pPr>
        <w:jc w:val="both"/>
        <w:ind w:firstLine="708"/>
        <w:pStyle w:val="0"/>
      </w:pPr>
      <w:r>
        <w:t xml:space="preserve">5.6. Настоящий Договор составлен и подписан в 3 (Трех) экземплярах, имеющих одинаковую юридическую силу: по одному для каждой СТОРОНЫ Договора, один экземпляр передается должнику.</w:t>
      </w:r>
    </w:p>
    <w:p>
      <w:pPr>
        <w:jc w:val="center"/>
        <w:pStyle w:val="0"/>
        <w:rPr>
          <w:b w:val="1"/>
        </w:rPr>
      </w:pPr>
      <w:r>
        <w:rPr>
          <w:b w:val="1"/>
        </w:rPr>
        <w:t xml:space="preserve">6. Адреса и реквизиты сторон</w:t>
      </w:r>
    </w:p>
    <w:tbl>
      <w:tblPr>
        <w:tblBorders>
          <w:right w:sz="4" w:val="single"/>
          <w:insideV w:sz="4" w:val="single"/>
          <w:bottom w:sz="4" w:val="single"/>
          <w:top w:sz="4" w:val="single"/>
          <w:insideH w:sz="4" w:val="single"/>
          <w:left w:sz="4" w:val="single"/>
        </w:tblBorders>
        <w:jc w:val="center"/>
        <w:tblCellMar>
          <w:left w:type="dxa" w:w="108"/>
          <w:right w:type="dxa" w:w="108"/>
          <w:top w:type="dxa" w:w="0"/>
          <w:bottom w:type="dxa" w:w="0"/>
        </w:tblCellMar>
        <w:tblW w:type="dxa" w:w="10086"/>
        <w:tblLayout w:type="autofit"/>
        <w:tblInd w:type="dxa" w:w="223"/>
      </w:tblPr>
      <w:tblGrid>
        <w:gridCol w:w="5084"/>
        <w:gridCol w:w="5002"/>
      </w:tblGrid>
      <w:tr>
        <w:trPr>
          <w:tblCellMar/>
          <w:trHeight w:val="2702" w:hRule="atLeast"/>
        </w:trPr>
        <w:tblPrEx>
          <w:tblCellMar/>
        </w:tblPrEx>
        <w:tc>
          <w:tcPr>
            <w:tcBorders>
              <w:top w:sz="0" w:val="none" w:color="000000"/>
              <w:right w:sz="0" w:val="none" w:color="000000"/>
              <w:bottom w:sz="0" w:val="none" w:color="000000"/>
              <w:left w:sz="0" w:val="none" w:color="000000"/>
            </w:tcBorders>
            <w:tcW w:type="dxa" w:w="5084"/>
          </w:tcPr>
          <w:p>
            <w:pPr>
              <w:jc w:val="center"/>
              <w:pStyle w:val="0"/>
              <w:rPr>
                <w:b w:val="1"/>
              </w:rPr>
            </w:pPr>
            <w:r>
              <w:rPr>
                <w:b w:val="1"/>
              </w:rPr>
              <w:t>ЦЕДЕНТ</w:t>
            </w:r>
          </w:p>
          <w:p>
            <w:pPr>
              <w:jc w:val="both"/>
              <w:ind w:right="180" w:firstLine="0"/>
              <w:pStyle w:val="19"/>
              <w:rPr>
                <w:rFonts w:hAnsi="Times New Roman" w:ascii="Times New Roman"/>
                <w:sz w:val="22"/>
              </w:rPr>
            </w:pPr>
            <w:r>
              <w:rPr>
                <w:rFonts w:hAnsi="Times New Roman" w:ascii="Times New Roman"/>
                <w:sz w:val="22"/>
              </w:rPr>
              <w:t xml:space="preserve">Обществос ограниченной ответственностью "Производственная Компания "ТЕПЛОЭНЕРГОСБЫТ"</w:t>
            </w:r>
          </w:p>
          <w:p>
            <w:pPr>
              <w:jc w:val="both"/>
              <w:ind w:right="180" w:firstLine="0"/>
              <w:pStyle w:val="19"/>
              <w:rPr>
                <w:rFonts w:hAnsi="Times New Roman" w:ascii="Times New Roman"/>
                <w:sz w:val="22"/>
              </w:rPr>
            </w:pPr>
            <w:r>
              <w:rPr>
                <w:rFonts w:hAnsi="Times New Roman" w:ascii="Times New Roman"/>
                <w:sz w:val="22"/>
              </w:rPr>
              <w:t xml:space="preserve">Адрес должника: г. Тверь, ул. Светогоровская, д.2</w:t>
            </w:r>
          </w:p>
          <w:p>
            <w:pPr>
              <w:jc w:val="both"/>
              <w:ind w:right="180" w:firstLine="0"/>
              <w:pStyle w:val="19"/>
              <w:rPr>
                <w:rFonts w:hAnsi="Times New Roman" w:ascii="Times New Roman"/>
                <w:sz w:val="22"/>
              </w:rPr>
            </w:pPr>
            <w:r>
              <w:rPr>
                <w:rFonts w:hAnsi="Times New Roman" w:ascii="Times New Roman"/>
                <w:sz w:val="22"/>
              </w:rPr>
              <w:t xml:space="preserve">Адрес конкурсного управляющего должника: 171251, Тверская обл., г. Конаково, пл.Калинина, д.3</w:t>
            </w:r>
          </w:p>
          <w:p>
            <w:pPr>
              <w:jc w:val="both"/>
              <w:pStyle w:val="0"/>
              <w:rPr>
                <w:sz w:val="22"/>
              </w:rPr>
            </w:pPr>
            <w:r>
              <w:rPr>
                <w:sz w:val="22"/>
                <w:shd w:fill="ffffff"/>
              </w:rPr>
              <w:t xml:space="preserve">ИНН 6950061789, ОГРН 1076952015557</w:t>
            </w:r>
            <w:r>
              <w:rPr>
                <w:sz w:val="22"/>
                <w:shd w:fill="ffffff"/>
              </w:rPr>
              <w:t>,</w:t>
            </w:r>
            <w:r>
              <w:rPr>
                <w:sz w:val="22"/>
              </w:rPr>
              <w:t xml:space="preserve"> </w:t>
            </w:r>
          </w:p>
          <w:p>
            <w:pPr>
              <w:jc w:val="both"/>
              <w:pStyle w:val="0"/>
              <w:rPr>
                <w:sz w:val="22"/>
              </w:rPr>
            </w:pPr>
            <w:r>
              <w:rPr>
                <w:sz w:val="22"/>
              </w:rPr>
              <w:t xml:space="preserve">Р/с № №40702810100060003375 в ПАО «Торжокуниверсалбанк» г. Торжок, БИК 042809953, кор/сч 30101810928090000953</w:t>
            </w:r>
          </w:p>
          <w:p>
            <w:pPr>
              <w:jc w:val="both"/>
              <w:pStyle w:val="0"/>
              <w:rPr>
                <w:sz w:val="22"/>
              </w:rPr>
            </w:pPr>
          </w:p>
          <w:p>
            <w:pPr>
              <w:jc w:val="both"/>
              <w:pStyle w:val="0"/>
              <w:rPr>
                <w:sz w:val="22"/>
              </w:rPr>
            </w:pPr>
            <w:r>
              <w:rPr>
                <w:sz w:val="22"/>
              </w:rPr>
              <w:t xml:space="preserve">Конкурсный управляющий ООО "ПК "ТЕПЛОЭНЕРГОСБЫТ"</w:t>
            </w:r>
          </w:p>
          <w:p>
            <w:pPr>
              <w:jc w:val="both"/>
              <w:pStyle w:val="0"/>
              <w:rPr>
                <w:sz w:val="22"/>
              </w:rPr>
            </w:pPr>
          </w:p>
          <w:p>
            <w:pPr>
              <w:jc w:val="both"/>
              <w:pStyle w:val="0"/>
              <w:rPr>
                <w:sz w:val="22"/>
              </w:rPr>
            </w:pPr>
            <w:r>
              <w:rPr>
                <w:sz w:val="22"/>
              </w:rPr>
              <w:t xml:space="preserve">___________________ А.Г. Жирехина</w:t>
            </w:r>
          </w:p>
          <w:p>
            <w:pPr>
              <w:pStyle w:val="0"/>
            </w:pPr>
            <w:r>
              <w:rPr>
                <w:sz w:val="22"/>
              </w:rPr>
              <w:t>м.п.</w:t>
            </w:r>
          </w:p>
        </w:tc>
        <w:tc>
          <w:tcPr>
            <w:tcBorders>
              <w:top w:sz="0" w:val="none" w:color="000000"/>
              <w:right w:sz="0" w:val="none" w:color="000000"/>
              <w:bottom w:sz="0" w:val="none" w:color="000000"/>
              <w:left w:sz="0" w:val="none" w:color="000000"/>
            </w:tcBorders>
            <w:tcW w:type="dxa" w:w="5002"/>
          </w:tcPr>
          <w:p>
            <w:pPr>
              <w:jc w:val="center"/>
              <w:pStyle w:val="0"/>
              <w:rPr>
                <w:b w:val="1"/>
              </w:rPr>
            </w:pPr>
            <w:r>
              <w:rPr>
                <w:b w:val="1"/>
              </w:rPr>
              <w:t>ЦЕССИОНАРИЙ</w:t>
            </w:r>
          </w:p>
          <w:p>
            <w:pPr>
              <w:jc w:val="both"/>
              <w:pStyle w:val="0"/>
              <w:rPr>
                <w:sz w:val="22"/>
              </w:rPr>
            </w:pPr>
          </w:p>
          <w:p>
            <w:pPr>
              <w:jc w:val="both"/>
              <w:pStyle w:val="0"/>
              <w:rPr>
                <w:sz w:val="22"/>
              </w:rPr>
            </w:pPr>
          </w:p>
          <w:p>
            <w:pPr>
              <w:jc w:val="both"/>
              <w:pStyle w:val="0"/>
              <w:rPr>
                <w:sz w:val="22"/>
              </w:rPr>
            </w:pPr>
          </w:p>
          <w:p>
            <w:pPr>
              <w:jc w:val="both"/>
              <w:pStyle w:val="0"/>
              <w:rPr>
                <w:sz w:val="22"/>
              </w:rPr>
            </w:pPr>
          </w:p>
          <w:p>
            <w:pPr>
              <w:jc w:val="both"/>
              <w:pStyle w:val="0"/>
              <w:rPr>
                <w:sz w:val="22"/>
              </w:rPr>
            </w:pPr>
          </w:p>
          <w:p>
            <w:pPr>
              <w:jc w:val="both"/>
              <w:pStyle w:val="0"/>
              <w:rPr>
                <w:sz w:val="22"/>
              </w:rPr>
            </w:pPr>
          </w:p>
          <w:p>
            <w:pPr>
              <w:jc w:val="both"/>
              <w:pStyle w:val="0"/>
              <w:rPr>
                <w:sz w:val="22"/>
              </w:rPr>
            </w:pPr>
          </w:p>
          <w:p>
            <w:pPr>
              <w:jc w:val="both"/>
              <w:pStyle w:val="0"/>
              <w:rPr>
                <w:sz w:val="22"/>
              </w:rPr>
            </w:pPr>
          </w:p>
          <w:p>
            <w:pPr>
              <w:jc w:val="both"/>
              <w:pStyle w:val="0"/>
              <w:rPr>
                <w:sz w:val="22"/>
              </w:rPr>
            </w:pPr>
          </w:p>
          <w:p>
            <w:pPr>
              <w:jc w:val="both"/>
              <w:pStyle w:val="0"/>
            </w:pPr>
            <w:r>
              <w:rPr>
                <w:sz w:val="22"/>
              </w:rPr>
              <w:t xml:space="preserve"> _______________________ </w:t>
            </w:r>
          </w:p>
        </w:tc>
      </w:tr>
      <w:tr>
        <w:trPr>
          <w:tblCellMar/>
          <w:trHeight w:val="2702" w:hRule="atLeast"/>
        </w:trPr>
        <w:tblPrEx>
          <w:tblCellMar/>
        </w:tblPrEx>
        <w:tc>
          <w:tcPr>
            <w:tcBorders>
              <w:top w:sz="0" w:val="none" w:color="000000"/>
              <w:right w:sz="0" w:val="none" w:color="000000"/>
              <w:bottom w:sz="0" w:val="none" w:color="000000"/>
              <w:left w:sz="0" w:val="none" w:color="000000"/>
            </w:tcBorders>
            <w:tcW w:type="dxa" w:w="5084"/>
          </w:tcPr>
          <w:p>
            <w:pPr>
              <w:jc w:val="center"/>
              <w:pStyle w:val="0"/>
            </w:pPr>
          </w:p>
        </w:tc>
        <w:tc>
          <w:tcPr>
            <w:tcBorders>
              <w:top w:sz="0" w:val="none" w:color="000000"/>
              <w:right w:sz="0" w:val="none" w:color="000000"/>
              <w:bottom w:sz="0" w:val="none" w:color="000000"/>
              <w:left w:sz="0" w:val="none" w:color="000000"/>
            </w:tcBorders>
            <w:tcW w:type="dxa" w:w="5002"/>
          </w:tcPr>
          <w:p>
            <w:pPr>
              <w:jc w:val="center"/>
              <w:pStyle w:val="0"/>
            </w:pPr>
          </w:p>
        </w:tc>
      </w:tr>
    </w:tbl>
    <w:p>
      <w:pPr>
        <w:pStyle w:val="18"/>
        <w:rPr>
          <w:rFonts w:hAnsi="Times New Roman" w:ascii="Times New Roman"/>
        </w:rPr>
      </w:pPr>
    </w:p>
    <w:sectPr>
      <w:pgSz w:w="11906" w:h="16838"/>
      <w:pgMar w:top="360" w:bottom="719" w:left="1260" w:right="566"/>
      <w:docGrid w:linePitch="360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>
  <w:abstractNum w:abstractNumId="1">
    <w:lvl w:ilvl="0">
      <w:numFmt w:val="bullet"/>
      <w:lvlText w:val=""/>
      <w:start w:val="1"/>
      <w:pPr>
        <w:ind w:left="720" w:hanging="360"/>
      </w:pPr>
      <w:rPr>
        <w:rFonts w:hAnsi="Symbol" w:ascii="Symbol"/>
      </w:r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2">
    <w:lvl w:ilvl="0">
      <w:numFmt w:val="decimal"/>
      <w:lvlText w:val="%1."/>
      <w:start w:val="8"/>
      <w:pPr>
        <w:ind w:left="360" w:hanging="360"/>
      </w:pPr>
    </w:lvl>
    <w:lvl w:ilvl="1">
      <w:numFmt w:val="decimal"/>
      <w:lvlText w:val="%1.%2."/>
      <w:start w:val="3"/>
      <w:pPr>
        <w:ind w:left="780" w:hanging="420"/>
      </w:pPr>
    </w:lvl>
    <w:lvl w:ilvl="2">
      <w:numFmt w:val="decimal"/>
      <w:lvlText w:val="%1.%2.%3."/>
      <w:start w:val="1"/>
      <w:pPr>
        <w:ind w:left="1440" w:hanging="720"/>
      </w:pPr>
    </w:lvl>
    <w:lvl w:ilvl="3">
      <w:numFmt w:val="decimal"/>
      <w:lvlText w:val="%1.%2.%3.%4."/>
      <w:start w:val="1"/>
      <w:pPr>
        <w:ind w:left="1800" w:hanging="720"/>
      </w:pPr>
    </w:lvl>
    <w:lvl w:ilvl="4">
      <w:numFmt w:val="decimal"/>
      <w:lvlText w:val="%1.%2.%3.%4.%5."/>
      <w:start w:val="1"/>
      <w:pPr>
        <w:ind w:left="2520" w:hanging="1080"/>
      </w:pPr>
    </w:lvl>
    <w:lvl w:ilvl="5">
      <w:numFmt w:val="decimal"/>
      <w:lvlText w:val="%1.%2.%3.%4.%5.%6."/>
      <w:start w:val="1"/>
      <w:pPr>
        <w:ind w:left="2880" w:hanging="1080"/>
      </w:pPr>
    </w:lvl>
    <w:lvl w:ilvl="6">
      <w:numFmt w:val="decimal"/>
      <w:lvlText w:val="%1.%2.%3.%4.%5.%6.%7."/>
      <w:start w:val="1"/>
      <w:pPr>
        <w:ind w:left="3600" w:hanging="1440"/>
      </w:pPr>
    </w:lvl>
    <w:lvl w:ilvl="7">
      <w:numFmt w:val="decimal"/>
      <w:lvlText w:val="%1.%2.%3.%4.%5.%6.%7.%8."/>
      <w:start w:val="1"/>
      <w:pPr>
        <w:ind w:left="3960" w:hanging="1440"/>
      </w:pPr>
    </w:lvl>
    <w:lvl w:ilvl="8">
      <w:numFmt w:val="decimal"/>
      <w:lvlText w:val="%1.%2.%3.%4.%5.%6.%7.%8.%9."/>
      <w:start w:val="1"/>
      <w:pPr>
        <w:ind w:left="4680" w:hanging="1800"/>
      </w:pPr>
    </w:lvl>
  </w:abstractNum>
  <w:abstractNum w:abstractNumId="3">
    <w:lvl w:ilvl="0">
      <w:numFmt w:val="bullet"/>
      <w:lvlText w:val=""/>
      <w:start w:val="1"/>
      <w:pPr>
        <w:ind w:left="720" w:hanging="360"/>
      </w:pPr>
      <w:rPr>
        <w:rFonts w:hAnsi="Symbol" w:ascii="Symbol"/>
      </w:r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4">
    <w:lvl w:ilvl="0">
      <w:numFmt w:val="bullet"/>
      <w:lvlText w:val=""/>
      <w:start w:val="1"/>
      <w:pPr>
        <w:ind w:left="1004" w:hanging="360"/>
      </w:pPr>
      <w:rPr>
        <w:rFonts w:hAnsi="Symbol" w:ascii="Symbol"/>
      </w:rPr>
    </w:lvl>
    <w:lvl w:ilvl="1">
      <w:numFmt w:val="bullet"/>
      <w:lvlText w:val="o"/>
      <w:start w:val="1"/>
      <w:pPr>
        <w:ind w:left="1724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444" w:hanging="360"/>
      </w:pPr>
    </w:lvl>
    <w:lvl w:ilvl="3">
      <w:numFmt w:val="bullet"/>
      <w:lvlText w:val=""/>
      <w:start w:val="1"/>
      <w:pPr>
        <w:ind w:left="3164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3884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4604" w:hanging="360"/>
      </w:pPr>
    </w:lvl>
    <w:lvl w:ilvl="6">
      <w:numFmt w:val="bullet"/>
      <w:lvlText w:val=""/>
      <w:start w:val="1"/>
      <w:pPr>
        <w:ind w:left="5324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6044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6764" w:hanging="360"/>
      </w:pPr>
    </w:lvl>
  </w:abstractNum>
  <w:abstractNum w:abstractNumId="5">
    <w:lvl w:ilvl="0">
      <w:numFmt w:val="bullet"/>
      <w:lvlText w:val=""/>
      <w:start w:val="1"/>
      <w:pPr>
        <w:ind w:left="1004" w:hanging="360"/>
      </w:pPr>
    </w:lvl>
    <w:lvl w:ilvl="1">
      <w:numFmt w:val="bullet"/>
      <w:lvlText w:val="o"/>
      <w:start w:val="1"/>
      <w:pPr>
        <w:ind w:left="1724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444" w:hanging="360"/>
      </w:pPr>
    </w:lvl>
    <w:lvl w:ilvl="3">
      <w:numFmt w:val="bullet"/>
      <w:lvlText w:val=""/>
      <w:start w:val="1"/>
      <w:pPr>
        <w:ind w:left="3164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3884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4604" w:hanging="360"/>
      </w:pPr>
    </w:lvl>
    <w:lvl w:ilvl="6">
      <w:numFmt w:val="bullet"/>
      <w:lvlText w:val=""/>
      <w:start w:val="1"/>
      <w:pPr>
        <w:ind w:left="5324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6044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6764" w:hanging="360"/>
      </w:pPr>
    </w:lvl>
  </w:abstractNum>
  <w:abstractNum w:abstractNumId="6">
    <w:lvl w:ilvl="0">
      <w:numFmt w:val="decimal"/>
      <w:lvlText w:val="%1."/>
      <w:start w:val="1"/>
      <w:pPr>
        <w:ind w:left="840" w:hanging="840"/>
      </w:pPr>
    </w:lvl>
    <w:lvl w:ilvl="1">
      <w:numFmt w:val="decimal"/>
      <w:lvlText w:val="%1.%2."/>
      <w:start w:val="1"/>
      <w:pPr>
        <w:ind w:left="1124" w:hanging="840"/>
      </w:pPr>
      <w:rPr>
        <w:b w:val="0"/>
      </w:rPr>
    </w:lvl>
    <w:lvl w:ilvl="2">
      <w:numFmt w:val="decimal"/>
      <w:lvlText w:val="%1.%2.%3."/>
      <w:start w:val="1"/>
      <w:pPr>
        <w:ind w:left="1408" w:hanging="840"/>
      </w:pPr>
      <w:rPr>
        <w:b w:val="0"/>
      </w:rPr>
    </w:lvl>
    <w:lvl w:ilvl="3">
      <w:numFmt w:val="decimal"/>
      <w:lvlText w:val="%1.%2.%3.%4."/>
      <w:start w:val="1"/>
      <w:pPr>
        <w:ind w:left="1692" w:hanging="840"/>
      </w:pPr>
    </w:lvl>
    <w:lvl w:ilvl="4">
      <w:numFmt w:val="decimal"/>
      <w:lvlText w:val="%1.%2.%3.%4.%5."/>
      <w:start w:val="1"/>
      <w:pPr>
        <w:ind w:left="2216" w:hanging="1080"/>
      </w:pPr>
    </w:lvl>
    <w:lvl w:ilvl="5">
      <w:numFmt w:val="decimal"/>
      <w:lvlText w:val="%1.%2.%3.%4.%5.%6."/>
      <w:start w:val="1"/>
      <w:pPr>
        <w:ind w:left="2500" w:hanging="1080"/>
      </w:pPr>
    </w:lvl>
    <w:lvl w:ilvl="6">
      <w:numFmt w:val="decimal"/>
      <w:lvlText w:val="%1.%2.%3.%4.%5.%6.%7."/>
      <w:start w:val="1"/>
      <w:pPr>
        <w:ind w:left="3144" w:hanging="1440"/>
      </w:pPr>
    </w:lvl>
    <w:lvl w:ilvl="7">
      <w:numFmt w:val="decimal"/>
      <w:lvlText w:val="%1.%2.%3.%4.%5.%6.%7.%8."/>
      <w:start w:val="1"/>
      <w:pPr>
        <w:ind w:left="3428" w:hanging="1440"/>
      </w:pPr>
    </w:lvl>
    <w:lvl w:ilvl="8">
      <w:numFmt w:val="decimal"/>
      <w:lvlText w:val="%1.%2.%3.%4.%5.%6.%7.%8.%9."/>
      <w:start w:val="1"/>
      <w:pPr>
        <w:ind w:left="4072" w:hanging="18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Times New Roman" w:ascii="Times New Roman"/>
        <w:sz w:val="20"/>
      </w:rPr>
    </w:rPrDefault>
    <w:pPrDefault>
      <w:pPr>
        <w:spacing w:lineRule="auto" w:line="240.0"/>
      </w:pPr>
    </w:pPrDefault>
  </w:docDefaults>
  <w:style w:styleId="24" w:type="paragraph">
    <w:name w:val="Текст выноски"/>
    <w:rPr>
      <w:rFonts w:hAnsi="Tahoma" w:ascii="Tahoma"/>
      <w:sz w:val="16"/>
    </w:rPr>
  </w:style>
  <w:style w:styleId="27" w:type="paragraph">
    <w:name w:val="ConsPlusNonformat"/>
    <w:rPr>
      <w:rFonts w:hAnsi="Courier New" w:ascii="Courier New"/>
    </w:rPr>
  </w:style>
  <w:style w:styleId="20" w:type="paragraph">
    <w:name w:val="Body Text 2"/>
    <w:pPr>
      <w:jc w:val="both"/>
      <w:ind w:firstLine="567"/>
    </w:pPr>
    <w:rPr>
      <w:rFonts w:hAnsi="Courier New" w:ascii="Courier New"/>
      <w:sz w:val="20"/>
    </w:rPr>
  </w:style>
  <w:style w:styleId="21" w:type="paragraph">
    <w:name w:val="Нижний колонтитул"/>
    <w:rPr>
      <w:sz w:val="24"/>
    </w:rPr>
  </w:style>
  <w:style w:styleId="16" w:type="paragraph">
    <w:name w:val="Основной текст"/>
    <w:pPr>
      <w:jc w:val="both"/>
    </w:pPr>
    <w:rPr>
      <w:rFonts w:hAnsi="Courier New" w:ascii="Courier New"/>
      <w:sz w:val="20"/>
    </w:rPr>
  </w:style>
  <w:style w:styleId="19" w:type="paragraph">
    <w:name w:val="ConsNormal"/>
    <w:pPr>
      <w:ind w:firstLine="720"/>
    </w:pPr>
    <w:rPr>
      <w:rFonts w:hAnsi="Consultant" w:ascii="Consultant"/>
    </w:rPr>
  </w:style>
  <w:style w:styleId="18" w:type="paragraph">
    <w:name w:val="ConsNonformat"/>
    <w:rPr>
      <w:rFonts w:hAnsi="Consultant" w:ascii="Consultant"/>
    </w:rPr>
  </w:style>
  <w:style w:styleId="23" w:type="paragraph">
    <w:name w:val="ConsPlusNormal"/>
    <w:pPr>
      <w:ind w:firstLine="720"/>
    </w:pPr>
    <w:rPr>
      <w:rFonts w:hAnsi="Arial" w:ascii="Arial"/>
    </w:rPr>
  </w:style>
  <w:style w:styleId="29" w:type="paragraph">
    <w:name w:val="Текст"/>
    <w:rPr>
      <w:rFonts w:hAnsi="Courier New" w:ascii="Courier New"/>
      <w:sz w:val="20"/>
    </w:rPr>
  </w:style>
  <w:style w:styleId="0" w:type="paragraph">
    <w:name w:val="Обычный"/>
    <w:rPr>
      <w:sz w:val="24"/>
    </w:rPr>
  </w:style>
  <w:style w:styleId="30" w:type="paragraph">
    <w:name w:val=" Знак"/>
    <w:pPr>
      <w:spacing w:after="160" w:lineRule="exact" w:line="240"/>
    </w:pPr>
    <w:rPr>
      <w:rFonts w:hAnsi="Tahoma" w:ascii="Tahoma"/>
      <w:sz w:val="20"/>
    </w:rPr>
  </w:style>
  <w:style w:styleId="15" w:type="paragraph">
    <w:name w:val="Название"/>
    <w:pPr>
      <w:jc w:val="center"/>
    </w:pPr>
    <w:rPr>
      <w:rFonts w:hAnsi="Courier New" w:ascii="Courier New"/>
      <w:sz w:val="24"/>
    </w:rPr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Договор уступки права требования ЛОТ№1 проект (копия).docx</dc:title>
</cp:coreProperties>
</file>