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4E15E77F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051CB6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6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2C3B7F54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D65DC8">
        <w:t>для участия в повторных открытых торгах</w:t>
      </w:r>
      <w:r>
        <w:t xml:space="preserve">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2CA1A076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1138A6">
              <w:t>земельный участок, 10 250 кв.м., кадастровый № 10:01:170129:027; склад-ангар (нежил.), 685,1 кв.м., условный № 10:01:170100:10443-1/10; склад (нежил.), 77,6 кв.м., условный №10:01:170100:10443-2/10</w:t>
            </w:r>
            <w:r w:rsidR="00691736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175340C4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1138A6">
        <w:rPr>
          <w:bCs/>
          <w:iCs/>
          <w:kern w:val="2"/>
        </w:rPr>
        <w:t>Начальная цена продажи Имущества</w:t>
      </w:r>
      <w:r w:rsidR="001138A6">
        <w:rPr>
          <w:b/>
        </w:rPr>
        <w:t xml:space="preserve"> </w:t>
      </w:r>
      <w:r w:rsidR="001138A6">
        <w:t>определена на основании отчетов независимого аккредитованного оценщика (отчеты об оценке №02-170220 от 24.02.2020, №02-260220 от 28.02.2020)</w:t>
      </w:r>
      <w:r w:rsidR="005F7256">
        <w:t xml:space="preserve"> </w:t>
      </w:r>
      <w:r w:rsidR="00051CB6">
        <w:rPr>
          <w:color w:val="000000"/>
        </w:rPr>
        <w:t>и с учетом снижения цены на повторных торгах</w:t>
      </w:r>
      <w:r w:rsidR="00695568">
        <w:rPr>
          <w:color w:val="000000"/>
        </w:rPr>
        <w:t xml:space="preserve"> составляет</w:t>
      </w:r>
      <w:r w:rsidR="002F5219">
        <w:rPr>
          <w:color w:val="000000"/>
        </w:rPr>
        <w:t xml:space="preserve"> </w:t>
      </w:r>
      <w:r w:rsidR="00051CB6">
        <w:t>7181</w:t>
      </w:r>
      <w:r w:rsidR="001138A6">
        <w:t>000</w:t>
      </w:r>
      <w:r w:rsidR="00653CAD">
        <w:t xml:space="preserve"> </w:t>
      </w:r>
      <w:r w:rsidR="00711321" w:rsidRPr="00711321">
        <w:rPr>
          <w:color w:val="000000"/>
        </w:rPr>
        <w:t>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1A81A6C5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051CB6">
        <w:t>14362</w:t>
      </w:r>
      <w:r w:rsidR="001138A6">
        <w:t>00</w:t>
      </w:r>
      <w:r w:rsidR="00653CAD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739BF4A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</w:t>
      </w:r>
      <w:r w:rsidR="00CA3FD1">
        <w:rPr>
          <w:b/>
        </w:rPr>
        <w:t>40702810400000002100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«Онего»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lastRenderedPageBreak/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4B4FB6E2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р/счет № </w:t>
            </w:r>
            <w:r w:rsidR="00CA3FD1">
              <w:rPr>
                <w:b/>
              </w:rPr>
              <w:t>40702810400000002100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«Онего».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51CB6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38A6"/>
    <w:rsid w:val="001169EC"/>
    <w:rsid w:val="0016489D"/>
    <w:rsid w:val="001B2414"/>
    <w:rsid w:val="001C671C"/>
    <w:rsid w:val="001E468F"/>
    <w:rsid w:val="001E5BB9"/>
    <w:rsid w:val="001F3D8C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259C"/>
    <w:rsid w:val="003656CD"/>
    <w:rsid w:val="003926FE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3668E"/>
    <w:rsid w:val="00450A93"/>
    <w:rsid w:val="00461D5F"/>
    <w:rsid w:val="00464DDC"/>
    <w:rsid w:val="00472FDD"/>
    <w:rsid w:val="004973A7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3CAD"/>
    <w:rsid w:val="0065524B"/>
    <w:rsid w:val="00686EE4"/>
    <w:rsid w:val="00691736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1150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864F6"/>
    <w:rsid w:val="00CA26BD"/>
    <w:rsid w:val="00CA3FD1"/>
    <w:rsid w:val="00CA41E3"/>
    <w:rsid w:val="00CB0DED"/>
    <w:rsid w:val="00CB2346"/>
    <w:rsid w:val="00CB47A2"/>
    <w:rsid w:val="00CB7933"/>
    <w:rsid w:val="00CC3E69"/>
    <w:rsid w:val="00D04916"/>
    <w:rsid w:val="00D20F0B"/>
    <w:rsid w:val="00D45387"/>
    <w:rsid w:val="00D469F5"/>
    <w:rsid w:val="00D6155A"/>
    <w:rsid w:val="00D65DC8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6</cp:revision>
  <cp:lastPrinted>2013-05-22T07:28:00Z</cp:lastPrinted>
  <dcterms:created xsi:type="dcterms:W3CDTF">2020-05-15T12:23:00Z</dcterms:created>
  <dcterms:modified xsi:type="dcterms:W3CDTF">2020-07-08T13:42:00Z</dcterms:modified>
</cp:coreProperties>
</file>