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г. 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Пермь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                                                                                      «     »                     2020 г. </w:t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Соловьева Жанна Михайловна (16.10.1968 г.р., место рождения: г. Пермь; ИНН 590409364110, СНИЛС 050-368-272 41;617141, Пермский край, г. Очер, ул. Калинина, д. 37а, кв. 3)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780433789674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регистрационный номер в сводном государственном реестре арбитражных управляющих -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18207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Пермского края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от «11» июля 2019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А50-19280/2019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 xml:space="preserve">____________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Идентификационный номер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XTA219010H0443321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Грузовой бортовой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LADA 219010 Granta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2016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Серебристо-темно-серый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87.0 л.с. (64.0 кВт)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Шасси (рама) №: Отсутствует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Пятый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1560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1160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Паспорт транспортного средства (ПТС): 82 ОЕ 860658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Государственный регистрационный знак: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Е582РВ82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10 (двадцати)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0" w:hRule="auto"/>
        </w:trPr>
        <w:tc>
          <w:tcPr>
            <w:tcW w:w="4979" w:type="dxa"/>
            <w:tmTcPr id="1584523943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_____________________ </w:t>
            </w:r>
          </w:p>
        </w:tc>
        <w:tc>
          <w:tcPr>
            <w:tcW w:w="493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84523943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Подоляк Сергей Юрьевич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780433789674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  <w:lang w:val="ru-ru" w:eastAsia="zh-cn" w:bidi="ar-sa"/>
              </w:rPr>
              <w:t>Пермского края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от «11» июля 2019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года (резолютивная часть) по делу №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  <w:lang w:val="ru-ru" w:eastAsia="zh-cn" w:bidi="ar-sa"/>
              </w:rPr>
              <w:t>А50-19280/2019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С.Ю.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Пермь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  <w:tab/>
        <w:tab/>
        <w:t xml:space="preserve">                                          «    » 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»           2020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Идентификационный номер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XTA219010H0443321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Грузовой бортовой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LADA 219010 Granta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2016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Серебристо-темно-серый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87.0 л.с. (64.0 кВт)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Шасси (рама) №: Отсутствует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Пятый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1560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1160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Паспорт транспортного средства (ПТС): 82 ОЕ 860658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Государственный регистрационный знак: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Е582РВ82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(ФИО)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ascii="Times New Roman" w:hAnsi="Times New Roman" w:eastAsia="Times New Roman"/>
          <w:color w:val="000000"/>
          <w:sz w:val="24"/>
          <w:szCs w:val="24"/>
        </w:rPr>
        <w:t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780433789674, регистрационный номер в сводном государственном реестре арбитражных управляющих - 18207)</w:t>
      </w:r>
      <w:r>
        <w:rPr>
          <w:rFonts w:ascii="Times New Roman" w:hAnsi="Times New Roman"/>
          <w:color w:val="000000"/>
          <w:sz w:val="24"/>
          <w:szCs w:val="24"/>
        </w:rPr>
        <w:t xml:space="preserve">, действующий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Пермского края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от «11» июля 2019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А50-19280/2019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  »         2020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 (______)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Подоляк Сергей Юрьевич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rPr>
          <w:rFonts w:cs="Calibri"/>
        </w:rPr>
      </w:pPr>
      <w:r>
        <w:rPr>
          <w:rFonts w:cs="Calibri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7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84523943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9</cp:revision>
  <cp:lastPrinted>2014-12-23T11:43:00Z</cp:lastPrinted>
  <dcterms:created xsi:type="dcterms:W3CDTF">2018-12-13T13:37:00Z</dcterms:created>
  <dcterms:modified xsi:type="dcterms:W3CDTF">2020-03-18T09:32:23Z</dcterms:modified>
</cp:coreProperties>
</file>