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2D550F">
        <w:rPr>
          <w:b w:val="0"/>
          <w:sz w:val="22"/>
          <w:szCs w:val="22"/>
        </w:rPr>
        <w:t xml:space="preserve">        « ____» __________ 2017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9136C4" w:rsidRPr="00691B9E">
        <w:rPr>
          <w:sz w:val="22"/>
          <w:szCs w:val="22"/>
        </w:rPr>
        <w:t>закрытого акционерного общества 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 xml:space="preserve">_________ 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назначенных на </w:t>
      </w:r>
      <w:r w:rsidR="00B61ED4" w:rsidRPr="00691B9E">
        <w:rPr>
          <w:sz w:val="22"/>
          <w:szCs w:val="22"/>
        </w:rPr>
        <w:t>«</w:t>
      </w:r>
      <w:r w:rsidR="00CA6FD0" w:rsidRPr="00691B9E">
        <w:rPr>
          <w:sz w:val="22"/>
          <w:szCs w:val="22"/>
        </w:rPr>
        <w:t>…..</w:t>
      </w:r>
      <w:r w:rsidR="00B61ED4" w:rsidRPr="00691B9E">
        <w:rPr>
          <w:sz w:val="22"/>
          <w:szCs w:val="22"/>
        </w:rPr>
        <w:t>»</w:t>
      </w:r>
      <w:r w:rsidR="00E533DB" w:rsidRPr="00691B9E">
        <w:rPr>
          <w:sz w:val="22"/>
          <w:szCs w:val="22"/>
        </w:rPr>
        <w:t xml:space="preserve"> </w:t>
      </w:r>
      <w:r w:rsidR="00CA6FD0" w:rsidRPr="00691B9E">
        <w:rPr>
          <w:sz w:val="22"/>
          <w:szCs w:val="22"/>
        </w:rPr>
        <w:t>…….</w:t>
      </w:r>
      <w:r w:rsidR="00C81CB7">
        <w:rPr>
          <w:sz w:val="22"/>
          <w:szCs w:val="22"/>
        </w:rPr>
        <w:t xml:space="preserve"> 2017</w:t>
      </w:r>
      <w:r w:rsidR="00CA6FD0" w:rsidRPr="00691B9E">
        <w:rPr>
          <w:sz w:val="22"/>
          <w:szCs w:val="22"/>
        </w:rPr>
        <w:t xml:space="preserve"> г. на …. час</w:t>
      </w:r>
      <w:proofErr w:type="gramStart"/>
      <w:r w:rsidR="00CA6FD0" w:rsidRPr="00691B9E">
        <w:rPr>
          <w:sz w:val="22"/>
          <w:szCs w:val="22"/>
        </w:rPr>
        <w:t>.</w:t>
      </w:r>
      <w:proofErr w:type="gramEnd"/>
      <w:r w:rsidR="00CA6FD0" w:rsidRPr="00691B9E">
        <w:rPr>
          <w:sz w:val="22"/>
          <w:szCs w:val="22"/>
        </w:rPr>
        <w:t xml:space="preserve"> ……</w:t>
      </w:r>
      <w:r w:rsidR="00281B12" w:rsidRPr="00691B9E">
        <w:rPr>
          <w:sz w:val="22"/>
          <w:szCs w:val="22"/>
        </w:rPr>
        <w:t xml:space="preserve"> </w:t>
      </w:r>
      <w:proofErr w:type="gramStart"/>
      <w:r w:rsidR="00281B12" w:rsidRPr="00691B9E">
        <w:rPr>
          <w:sz w:val="22"/>
          <w:szCs w:val="22"/>
        </w:rPr>
        <w:t>м</w:t>
      </w:r>
      <w:proofErr w:type="gramEnd"/>
      <w:r w:rsidR="00281B12" w:rsidRPr="00691B9E">
        <w:rPr>
          <w:sz w:val="22"/>
          <w:szCs w:val="22"/>
        </w:rPr>
        <w:t xml:space="preserve">ин.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, </w:t>
      </w:r>
      <w:proofErr w:type="gramStart"/>
      <w:r w:rsidRPr="00691B9E">
        <w:rPr>
          <w:bCs/>
          <w:sz w:val="22"/>
          <w:szCs w:val="22"/>
        </w:rPr>
        <w:t>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691B9E">
        <w:rPr>
          <w:sz w:val="22"/>
          <w:szCs w:val="22"/>
        </w:rPr>
        <w:t>р</w:t>
      </w:r>
      <w:proofErr w:type="gramEnd"/>
      <w:r w:rsidR="009136C4" w:rsidRPr="00691B9E">
        <w:rPr>
          <w:sz w:val="22"/>
          <w:szCs w:val="22"/>
        </w:rPr>
        <w:t>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назначенных на «__»_________ ____ г.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E455C7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  <w:bookmarkStart w:id="0" w:name="_GoBack"/>
      <w:bookmarkEnd w:id="0"/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2D550F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03A35"/>
    <w:rsid w:val="00B13EFD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455C7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18</cp:revision>
  <dcterms:created xsi:type="dcterms:W3CDTF">2015-12-04T04:11:00Z</dcterms:created>
  <dcterms:modified xsi:type="dcterms:W3CDTF">2017-04-04T23:51:00Z</dcterms:modified>
</cp:coreProperties>
</file>