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531A919E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7E5AA3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по Лоту №3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9E98E64" w:rsidR="00555DC8" w:rsidRDefault="00555DC8" w:rsidP="00555DC8">
      <w:pPr>
        <w:ind w:firstLine="567"/>
        <w:jc w:val="both"/>
      </w:pPr>
      <w:r>
        <w:t xml:space="preserve">1.1. Настоящий договор заключается по результатам открытых торгов 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1EE1BE86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7E5AA3">
              <w:t>автобус ПАЗ 320530, 2003 года выпуска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4C95D1B7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5F7256">
        <w:rPr>
          <w:bCs/>
          <w:iCs/>
          <w:kern w:val="2"/>
        </w:rPr>
        <w:t>Начальная цена продажи Имущества</w:t>
      </w:r>
      <w:r w:rsidR="005F7256">
        <w:rPr>
          <w:b/>
        </w:rPr>
        <w:t xml:space="preserve"> </w:t>
      </w:r>
      <w:r w:rsidR="005F7256">
        <w:t xml:space="preserve">определена на основании отчета независимого аккредитованного оценщика (отчет об оценке №01-200120 от 30.01.2020)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 xml:space="preserve"> </w:t>
      </w:r>
      <w:r w:rsidR="007E5AA3">
        <w:t>62000</w:t>
      </w:r>
      <w:r w:rsidR="007E5AA3">
        <w:t xml:space="preserve"> </w:t>
      </w:r>
      <w:r w:rsidR="00711321" w:rsidRPr="00711321">
        <w:rPr>
          <w:color w:val="000000"/>
        </w:rPr>
        <w:t>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3858C603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7E5AA3">
        <w:t>12</w:t>
      </w:r>
      <w:r w:rsidR="007E5AA3">
        <w:t> </w:t>
      </w:r>
      <w:r w:rsidR="007E5AA3">
        <w:t>400</w:t>
      </w:r>
      <w:r w:rsidR="007E5AA3">
        <w:t xml:space="preserve"> </w:t>
      </w:r>
      <w:r w:rsidR="00711321" w:rsidRPr="00711321">
        <w:t>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C5ACB3C" w14:textId="12D1C95F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40702810900000000136</w:t>
      </w:r>
    </w:p>
    <w:p w14:paraId="3D52828E" w14:textId="77777777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</w:t>
      </w:r>
      <w:proofErr w:type="spellStart"/>
      <w:r w:rsidR="005F7256" w:rsidRPr="005F7256">
        <w:rPr>
          <w:color w:val="000000"/>
        </w:rPr>
        <w:t>Онего</w:t>
      </w:r>
      <w:proofErr w:type="spellEnd"/>
      <w:r w:rsidR="005F7256" w:rsidRPr="005F7256">
        <w:rPr>
          <w:color w:val="000000"/>
        </w:rPr>
        <w:t>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</w:t>
      </w:r>
      <w:r w:rsidR="001C671C">
        <w:rPr>
          <w:color w:val="000000"/>
        </w:rPr>
        <w:lastRenderedPageBreak/>
        <w:t>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12EC2BD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09F1A587" w14:textId="77777777" w:rsidR="00925D16" w:rsidRPr="00BF17F7" w:rsidRDefault="00925D16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22106FBC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р/счет № 40702810900000000136</w:t>
            </w:r>
          </w:p>
          <w:p w14:paraId="6B9B3910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</w:t>
            </w:r>
            <w:proofErr w:type="spellStart"/>
            <w:r>
              <w:rPr>
                <w:color w:val="000000"/>
              </w:rPr>
              <w:t>Онего</w:t>
            </w:r>
            <w:proofErr w:type="spellEnd"/>
            <w:r>
              <w:rPr>
                <w:color w:val="000000"/>
              </w:rPr>
              <w:t>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7E5AA3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25D16"/>
    <w:rsid w:val="0093125C"/>
    <w:rsid w:val="00934111"/>
    <w:rsid w:val="00945193"/>
    <w:rsid w:val="00950186"/>
    <w:rsid w:val="00975022"/>
    <w:rsid w:val="0098326F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0DED"/>
    <w:rsid w:val="00CB2346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21D1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3</cp:revision>
  <cp:lastPrinted>2013-05-22T07:28:00Z</cp:lastPrinted>
  <dcterms:created xsi:type="dcterms:W3CDTF">2020-05-15T12:15:00Z</dcterms:created>
  <dcterms:modified xsi:type="dcterms:W3CDTF">2020-05-15T12:15:00Z</dcterms:modified>
</cp:coreProperties>
</file>