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6C" w:rsidRDefault="0082416C" w:rsidP="00DC5C9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</w:t>
      </w:r>
      <w:bookmarkStart w:id="0" w:name="_GoBack"/>
      <w:bookmarkEnd w:id="0"/>
      <w:r w:rsidR="00BC3B08" w:rsidRPr="00DC5C9E">
        <w:rPr>
          <w:b/>
          <w:bCs/>
          <w:sz w:val="22"/>
          <w:szCs w:val="22"/>
        </w:rPr>
        <w:t xml:space="preserve"> </w:t>
      </w:r>
    </w:p>
    <w:p w:rsidR="003149A3" w:rsidRPr="00DC5C9E" w:rsidRDefault="003149A3" w:rsidP="00DC5C9E">
      <w:pPr>
        <w:jc w:val="center"/>
        <w:rPr>
          <w:b/>
          <w:sz w:val="22"/>
          <w:szCs w:val="22"/>
        </w:rPr>
      </w:pPr>
      <w:r w:rsidRPr="00DC5C9E">
        <w:rPr>
          <w:b/>
          <w:sz w:val="22"/>
          <w:szCs w:val="22"/>
        </w:rPr>
        <w:t>об уступке прав требования (цессии)</w:t>
      </w:r>
    </w:p>
    <w:p w:rsidR="00BC3B08" w:rsidRPr="00DC5C9E" w:rsidRDefault="00BC3B08" w:rsidP="00206097">
      <w:pPr>
        <w:tabs>
          <w:tab w:val="left" w:pos="1080"/>
        </w:tabs>
        <w:rPr>
          <w:sz w:val="22"/>
          <w:szCs w:val="22"/>
        </w:rPr>
      </w:pPr>
    </w:p>
    <w:p w:rsidR="00206097" w:rsidRPr="00DE10AC" w:rsidRDefault="00206097" w:rsidP="00206097">
      <w:pPr>
        <w:tabs>
          <w:tab w:val="left" w:pos="1080"/>
          <w:tab w:val="left" w:pos="7230"/>
          <w:tab w:val="left" w:pos="7655"/>
        </w:tabs>
        <w:spacing w:line="19" w:lineRule="atLeast"/>
        <w:ind w:left="567"/>
        <w:rPr>
          <w:sz w:val="22"/>
          <w:szCs w:val="22"/>
        </w:rPr>
      </w:pPr>
      <w:r w:rsidRPr="00DE10AC">
        <w:rPr>
          <w:sz w:val="22"/>
          <w:szCs w:val="22"/>
        </w:rPr>
        <w:t xml:space="preserve">г. </w:t>
      </w:r>
      <w:r w:rsidR="000E0853">
        <w:rPr>
          <w:sz w:val="22"/>
          <w:szCs w:val="22"/>
        </w:rPr>
        <w:t>_____________</w:t>
      </w:r>
      <w:r w:rsidR="005E571D">
        <w:rPr>
          <w:sz w:val="22"/>
          <w:szCs w:val="22"/>
        </w:rPr>
        <w:tab/>
        <w:t xml:space="preserve"> «___» ________ 2020</w:t>
      </w:r>
      <w:r w:rsidRPr="00DE10AC">
        <w:rPr>
          <w:sz w:val="22"/>
          <w:szCs w:val="22"/>
        </w:rPr>
        <w:t xml:space="preserve"> года</w:t>
      </w:r>
    </w:p>
    <w:p w:rsidR="00206097" w:rsidRPr="00DE10AC" w:rsidRDefault="00206097" w:rsidP="00206097">
      <w:pPr>
        <w:tabs>
          <w:tab w:val="left" w:pos="1080"/>
        </w:tabs>
        <w:spacing w:line="19" w:lineRule="atLeast"/>
        <w:jc w:val="center"/>
        <w:rPr>
          <w:sz w:val="22"/>
          <w:szCs w:val="22"/>
        </w:rPr>
      </w:pPr>
    </w:p>
    <w:p w:rsidR="00206097" w:rsidRPr="00DE10AC" w:rsidRDefault="003B2419" w:rsidP="00206097">
      <w:pPr>
        <w:tabs>
          <w:tab w:val="num" w:pos="0"/>
          <w:tab w:val="left" w:pos="567"/>
        </w:tabs>
        <w:ind w:firstLine="851"/>
        <w:jc w:val="both"/>
        <w:rPr>
          <w:bCs/>
          <w:sz w:val="22"/>
          <w:szCs w:val="22"/>
        </w:rPr>
      </w:pPr>
      <w:proofErr w:type="gramStart"/>
      <w:r w:rsidRPr="000E53A3">
        <w:rPr>
          <w:b/>
        </w:rPr>
        <w:t>ООО «ТЕСКОМ ЦЕНТР»</w:t>
      </w:r>
      <w:r w:rsidRPr="00207B1A">
        <w:t xml:space="preserve"> </w:t>
      </w:r>
      <w:r w:rsidRPr="004679B8">
        <w:t>(ОГРН 1067746909262, ИНН 7701671916</w:t>
      </w:r>
      <w:r w:rsidR="003E5E16" w:rsidRPr="007147E6">
        <w:rPr>
          <w:sz w:val="22"/>
          <w:szCs w:val="22"/>
        </w:rPr>
        <w:t>;</w:t>
      </w:r>
      <w:r w:rsidR="005E571D">
        <w:rPr>
          <w:sz w:val="22"/>
          <w:szCs w:val="22"/>
        </w:rPr>
        <w:t xml:space="preserve"> </w:t>
      </w:r>
      <w:r w:rsidR="005E571D" w:rsidRPr="007D27BA">
        <w:rPr>
          <w:sz w:val="22"/>
          <w:szCs w:val="22"/>
        </w:rPr>
        <w:t>121099, г</w:t>
      </w:r>
      <w:r w:rsidR="005E571D">
        <w:rPr>
          <w:sz w:val="22"/>
          <w:szCs w:val="22"/>
        </w:rPr>
        <w:t>.</w:t>
      </w:r>
      <w:r w:rsidR="005E571D" w:rsidRPr="007D27BA">
        <w:rPr>
          <w:sz w:val="22"/>
          <w:szCs w:val="22"/>
        </w:rPr>
        <w:t xml:space="preserve"> Москва, площадь Смоленская, дом 3,</w:t>
      </w:r>
      <w:r w:rsidR="003E5E16" w:rsidRPr="007147E6">
        <w:rPr>
          <w:sz w:val="22"/>
          <w:szCs w:val="22"/>
        </w:rPr>
        <w:t xml:space="preserve"> конкурсное производство открыто Решением Арбитражного суда города Москвы по делу </w:t>
      </w:r>
      <w:r w:rsidRPr="00F86AC6">
        <w:rPr>
          <w:sz w:val="22"/>
          <w:szCs w:val="22"/>
        </w:rPr>
        <w:t xml:space="preserve">№ </w:t>
      </w:r>
      <w:r>
        <w:rPr>
          <w:sz w:val="22"/>
          <w:szCs w:val="22"/>
        </w:rPr>
        <w:t xml:space="preserve">А40-225238/18 </w:t>
      </w:r>
      <w:r w:rsidR="003E5E16" w:rsidRPr="007147E6">
        <w:rPr>
          <w:sz w:val="22"/>
          <w:szCs w:val="22"/>
        </w:rPr>
        <w:t xml:space="preserve">от </w:t>
      </w:r>
      <w:r>
        <w:t>10.06.2019 г.</w:t>
      </w:r>
      <w:r w:rsidR="003E5E16" w:rsidRPr="007147E6">
        <w:rPr>
          <w:sz w:val="22"/>
          <w:szCs w:val="22"/>
        </w:rPr>
        <w:t>)</w:t>
      </w:r>
      <w:r w:rsidR="003E5E16" w:rsidRPr="005D2772">
        <w:rPr>
          <w:sz w:val="22"/>
          <w:szCs w:val="22"/>
        </w:rPr>
        <w:t>,</w:t>
      </w:r>
      <w:r w:rsidR="003E5E16" w:rsidRPr="007C057C">
        <w:rPr>
          <w:sz w:val="22"/>
          <w:szCs w:val="22"/>
        </w:rPr>
        <w:t xml:space="preserve"> в лице конкурсно</w:t>
      </w:r>
      <w:r w:rsidR="003E5E16">
        <w:rPr>
          <w:sz w:val="22"/>
          <w:szCs w:val="22"/>
        </w:rPr>
        <w:t>го</w:t>
      </w:r>
      <w:r w:rsidR="003E5E16" w:rsidRPr="007C057C">
        <w:rPr>
          <w:sz w:val="22"/>
          <w:szCs w:val="22"/>
        </w:rPr>
        <w:t xml:space="preserve"> управляюще</w:t>
      </w:r>
      <w:r w:rsidR="003E5E16">
        <w:rPr>
          <w:sz w:val="22"/>
          <w:szCs w:val="22"/>
        </w:rPr>
        <w:t>го</w:t>
      </w:r>
      <w:r w:rsidR="003E5E16" w:rsidRPr="007C057C">
        <w:rPr>
          <w:b/>
          <w:sz w:val="22"/>
          <w:szCs w:val="22"/>
        </w:rPr>
        <w:t xml:space="preserve"> </w:t>
      </w:r>
      <w:r w:rsidRPr="004679B8">
        <w:t>Кузнецов</w:t>
      </w:r>
      <w:r>
        <w:t>а</w:t>
      </w:r>
      <w:r w:rsidRPr="004679B8">
        <w:t xml:space="preserve"> Иван</w:t>
      </w:r>
      <w:r>
        <w:t>а</w:t>
      </w:r>
      <w:r w:rsidRPr="004679B8">
        <w:t xml:space="preserve"> Борисович</w:t>
      </w:r>
      <w:r>
        <w:t>а</w:t>
      </w:r>
      <w:r w:rsidR="003E5E16" w:rsidRPr="007147E6">
        <w:rPr>
          <w:sz w:val="22"/>
          <w:szCs w:val="22"/>
        </w:rPr>
        <w:t>, действующе</w:t>
      </w:r>
      <w:r w:rsidR="003E5E16">
        <w:rPr>
          <w:sz w:val="22"/>
          <w:szCs w:val="22"/>
        </w:rPr>
        <w:t>го</w:t>
      </w:r>
      <w:r w:rsidR="003E5E16" w:rsidRPr="007147E6">
        <w:rPr>
          <w:sz w:val="22"/>
          <w:szCs w:val="22"/>
        </w:rPr>
        <w:t xml:space="preserve"> на основании Решения Арбитражного суда города Москвы по делу № </w:t>
      </w:r>
      <w:r w:rsidR="005E571D" w:rsidRPr="004679B8">
        <w:t xml:space="preserve">А40-225238/18 от </w:t>
      </w:r>
      <w:r w:rsidR="005E571D">
        <w:t>10.06.2019 г</w:t>
      </w:r>
      <w:r w:rsidR="003E5E16" w:rsidRPr="007147E6">
        <w:rPr>
          <w:sz w:val="22"/>
          <w:szCs w:val="22"/>
        </w:rPr>
        <w:t>.,</w:t>
      </w:r>
      <w:r w:rsidR="000E0853" w:rsidRPr="00710CBD">
        <w:rPr>
          <w:sz w:val="22"/>
          <w:szCs w:val="22"/>
        </w:rPr>
        <w:t xml:space="preserve"> именуемое</w:t>
      </w:r>
      <w:r w:rsidR="000E0853" w:rsidRPr="00EC65CB">
        <w:rPr>
          <w:sz w:val="22"/>
          <w:szCs w:val="22"/>
        </w:rPr>
        <w:t xml:space="preserve"> в дальнейшем </w:t>
      </w:r>
      <w:r w:rsidR="00206097" w:rsidRPr="00DE10AC">
        <w:rPr>
          <w:sz w:val="22"/>
          <w:szCs w:val="22"/>
        </w:rPr>
        <w:t>«</w:t>
      </w:r>
      <w:r w:rsidR="00206097">
        <w:rPr>
          <w:b/>
          <w:sz w:val="22"/>
          <w:szCs w:val="22"/>
        </w:rPr>
        <w:t>Цедент</w:t>
      </w:r>
      <w:r w:rsidR="00206097" w:rsidRPr="00DE10AC">
        <w:rPr>
          <w:sz w:val="22"/>
          <w:szCs w:val="22"/>
        </w:rPr>
        <w:t xml:space="preserve">», с одной стороны, и </w:t>
      </w:r>
      <w:proofErr w:type="gramEnd"/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___________________________________, именуемый </w:t>
      </w:r>
      <w:r w:rsidR="00D00136">
        <w:rPr>
          <w:sz w:val="22"/>
          <w:szCs w:val="22"/>
        </w:rPr>
        <w:t>в дальнейшем</w:t>
      </w:r>
      <w:r w:rsidRPr="00DE10AC">
        <w:rPr>
          <w:sz w:val="22"/>
          <w:szCs w:val="22"/>
        </w:rPr>
        <w:t xml:space="preserve"> </w:t>
      </w:r>
      <w:r w:rsidRPr="00DE10AC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Цессионарий</w:t>
      </w:r>
      <w:r w:rsidRPr="00DE10AC">
        <w:rPr>
          <w:b/>
          <w:sz w:val="22"/>
          <w:szCs w:val="22"/>
        </w:rPr>
        <w:t>»</w:t>
      </w:r>
      <w:r w:rsidRPr="00DE10AC">
        <w:rPr>
          <w:sz w:val="22"/>
          <w:szCs w:val="22"/>
        </w:rPr>
        <w:t xml:space="preserve">, с другой стороны, в дальнейшем совместно именуемые </w:t>
      </w:r>
      <w:r w:rsidRPr="00DE10AC">
        <w:rPr>
          <w:b/>
          <w:sz w:val="22"/>
          <w:szCs w:val="22"/>
        </w:rPr>
        <w:t>«Стороны»,</w:t>
      </w:r>
      <w:r w:rsidRPr="00DE10AC">
        <w:rPr>
          <w:sz w:val="22"/>
          <w:szCs w:val="22"/>
        </w:rPr>
        <w:t xml:space="preserve"> </w:t>
      </w:r>
    </w:p>
    <w:p w:rsidR="00206097" w:rsidRPr="00DE10AC" w:rsidRDefault="00206097" w:rsidP="00206097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DE10AC">
        <w:rPr>
          <w:rFonts w:cs="Times New Roman"/>
          <w:sz w:val="22"/>
          <w:szCs w:val="22"/>
        </w:rPr>
        <w:t xml:space="preserve">в </w:t>
      </w:r>
      <w:proofErr w:type="spellStart"/>
      <w:r w:rsidRPr="00DE10AC">
        <w:rPr>
          <w:rFonts w:cs="Times New Roman"/>
          <w:sz w:val="22"/>
          <w:szCs w:val="22"/>
        </w:rPr>
        <w:t>соответствии</w:t>
      </w:r>
      <w:proofErr w:type="spellEnd"/>
      <w:r w:rsidRPr="00DE10AC">
        <w:rPr>
          <w:rFonts w:cs="Times New Roman"/>
          <w:sz w:val="22"/>
          <w:szCs w:val="22"/>
        </w:rPr>
        <w:t xml:space="preserve"> с </w:t>
      </w:r>
      <w:proofErr w:type="spellStart"/>
      <w:r w:rsidRPr="00DE10AC">
        <w:rPr>
          <w:rFonts w:cs="Times New Roman"/>
          <w:sz w:val="22"/>
          <w:szCs w:val="22"/>
        </w:rPr>
        <w:t>Федеральным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законом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26.10.2002 г. № 127-ФЗ «О </w:t>
      </w:r>
      <w:proofErr w:type="spellStart"/>
      <w:r w:rsidRPr="00DE10AC">
        <w:rPr>
          <w:rFonts w:cs="Times New Roman"/>
          <w:sz w:val="22"/>
          <w:szCs w:val="22"/>
        </w:rPr>
        <w:t>несостоятельности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банкротстве</w:t>
      </w:r>
      <w:proofErr w:type="spellEnd"/>
      <w:r w:rsidRPr="00DE10AC">
        <w:rPr>
          <w:rFonts w:cs="Times New Roman"/>
          <w:sz w:val="22"/>
          <w:szCs w:val="22"/>
        </w:rPr>
        <w:t xml:space="preserve">)», информационным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</w:t>
      </w:r>
      <w:r w:rsidRPr="00DE10AC">
        <w:rPr>
          <w:rFonts w:cs="Times New Roman"/>
          <w:sz w:val="22"/>
          <w:szCs w:val="22"/>
        </w:rPr>
        <w:t xml:space="preserve"> о </w:t>
      </w:r>
      <w:proofErr w:type="spellStart"/>
      <w:r w:rsidRPr="00DE10AC">
        <w:rPr>
          <w:rFonts w:cs="Times New Roman"/>
          <w:sz w:val="22"/>
          <w:szCs w:val="22"/>
        </w:rPr>
        <w:t>проведении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торгов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продаже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имущества</w:t>
      </w:r>
      <w:proofErr w:type="spellEnd"/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</w:t>
      </w:r>
      <w:r>
        <w:rPr>
          <w:rFonts w:cs="Times New Roman"/>
          <w:sz w:val="22"/>
          <w:szCs w:val="22"/>
        </w:rPr>
        <w:t>анным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газете</w:t>
      </w:r>
      <w:proofErr w:type="spellEnd"/>
      <w:r>
        <w:rPr>
          <w:rFonts w:cs="Times New Roman"/>
          <w:sz w:val="22"/>
          <w:szCs w:val="22"/>
        </w:rPr>
        <w:t xml:space="preserve"> «</w:t>
      </w:r>
      <w:proofErr w:type="spellStart"/>
      <w:r>
        <w:rPr>
          <w:rFonts w:cs="Times New Roman"/>
          <w:sz w:val="22"/>
          <w:szCs w:val="22"/>
        </w:rPr>
        <w:t>Коммерсантъ</w:t>
      </w:r>
      <w:proofErr w:type="spellEnd"/>
      <w:r>
        <w:rPr>
          <w:rFonts w:cs="Times New Roman"/>
          <w:sz w:val="22"/>
          <w:szCs w:val="22"/>
        </w:rPr>
        <w:t xml:space="preserve">» №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  <w:lang w:val="ru-RU"/>
        </w:rPr>
        <w:t xml:space="preserve">  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стр</w:t>
      </w:r>
      <w:proofErr w:type="spellEnd"/>
      <w:r w:rsidRPr="00DE10AC">
        <w:rPr>
          <w:rFonts w:cs="Times New Roman"/>
          <w:sz w:val="22"/>
          <w:szCs w:val="22"/>
        </w:rPr>
        <w:t xml:space="preserve">. </w:t>
      </w:r>
      <w:r w:rsidRPr="00DE10AC">
        <w:rPr>
          <w:rFonts w:cs="Times New Roman"/>
          <w:sz w:val="22"/>
          <w:szCs w:val="22"/>
          <w:lang w:val="ru-RU"/>
        </w:rPr>
        <w:t>______</w:t>
      </w:r>
      <w:r w:rsidRPr="00DE10AC">
        <w:rPr>
          <w:rFonts w:cs="Times New Roman"/>
          <w:sz w:val="22"/>
          <w:szCs w:val="22"/>
        </w:rPr>
        <w:t xml:space="preserve">; информационным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__________</w:t>
      </w:r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r w:rsidRPr="00DE10AC">
        <w:rPr>
          <w:rFonts w:cs="Times New Roman"/>
          <w:sz w:val="22"/>
          <w:szCs w:val="22"/>
          <w:lang w:val="ru-RU"/>
        </w:rPr>
        <w:t>_____________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опубликованным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сайте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Единого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федерального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реестра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сведений</w:t>
      </w:r>
      <w:proofErr w:type="spellEnd"/>
      <w:r w:rsidRPr="00DE10AC">
        <w:rPr>
          <w:rFonts w:cs="Times New Roman"/>
          <w:sz w:val="22"/>
          <w:szCs w:val="22"/>
        </w:rPr>
        <w:t xml:space="preserve"> о </w:t>
      </w:r>
      <w:r w:rsidRPr="00DE10AC">
        <w:rPr>
          <w:rFonts w:cs="Times New Roman"/>
          <w:noProof/>
          <w:sz w:val="22"/>
          <w:szCs w:val="22"/>
        </w:rPr>
        <w:t>банкротстве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заключили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настоящий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Далее</w:t>
      </w:r>
      <w:proofErr w:type="spellEnd"/>
      <w:r w:rsidRPr="00DE10AC">
        <w:rPr>
          <w:rFonts w:cs="Times New Roman"/>
          <w:sz w:val="22"/>
          <w:szCs w:val="22"/>
        </w:rPr>
        <w:t xml:space="preserve"> -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>)</w:t>
      </w:r>
      <w:r w:rsidRPr="00DE10AC">
        <w:rPr>
          <w:rFonts w:cs="Times New Roman"/>
          <w:sz w:val="22"/>
          <w:szCs w:val="22"/>
          <w:lang w:val="ru-RU"/>
        </w:rPr>
        <w:t>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5E571D">
        <w:rPr>
          <w:sz w:val="22"/>
          <w:szCs w:val="22"/>
        </w:rPr>
        <w:t xml:space="preserve">20 </w:t>
      </w:r>
      <w:r w:rsidRPr="00DE10AC">
        <w:rPr>
          <w:sz w:val="22"/>
          <w:szCs w:val="22"/>
        </w:rPr>
        <w:t>г.</w:t>
      </w:r>
      <w:r w:rsidR="0020300A">
        <w:rPr>
          <w:sz w:val="22"/>
          <w:szCs w:val="22"/>
        </w:rPr>
        <w:t xml:space="preserve"> конкурсн</w:t>
      </w:r>
      <w:r w:rsidR="00D00136">
        <w:rPr>
          <w:sz w:val="22"/>
          <w:szCs w:val="22"/>
        </w:rPr>
        <w:t>ым</w:t>
      </w:r>
      <w:r w:rsidR="0020300A">
        <w:rPr>
          <w:sz w:val="22"/>
          <w:szCs w:val="22"/>
        </w:rPr>
        <w:t xml:space="preserve"> управляющ</w:t>
      </w:r>
      <w:r w:rsidR="00D00136">
        <w:rPr>
          <w:sz w:val="22"/>
          <w:szCs w:val="22"/>
        </w:rPr>
        <w:t>им</w:t>
      </w:r>
      <w:r w:rsidR="0020300A">
        <w:rPr>
          <w:sz w:val="22"/>
          <w:szCs w:val="22"/>
        </w:rPr>
        <w:t xml:space="preserve"> </w:t>
      </w:r>
      <w:r w:rsidR="005E571D" w:rsidRPr="00207B1A">
        <w:t>ООО «</w:t>
      </w:r>
      <w:r w:rsidR="005E571D" w:rsidRPr="004679B8">
        <w:t>ТЕСКОМ ЦЕНТР</w:t>
      </w:r>
      <w:r w:rsidR="005E571D" w:rsidRPr="00207B1A">
        <w:t>»</w:t>
      </w:r>
      <w:r w:rsidR="005E571D" w:rsidRPr="004679B8">
        <w:t xml:space="preserve"> Кузнецов</w:t>
      </w:r>
      <w:r w:rsidR="005E571D">
        <w:t>ым</w:t>
      </w:r>
      <w:r w:rsidR="005E571D" w:rsidRPr="004679B8">
        <w:t xml:space="preserve"> Иван</w:t>
      </w:r>
      <w:r w:rsidR="005E571D">
        <w:t>ом</w:t>
      </w:r>
      <w:r w:rsidR="005E571D" w:rsidRPr="004679B8">
        <w:t xml:space="preserve"> Борисович</w:t>
      </w:r>
      <w:r w:rsidR="005E571D">
        <w:t>ем</w:t>
      </w:r>
      <w:r w:rsidR="0020300A">
        <w:rPr>
          <w:sz w:val="22"/>
          <w:szCs w:val="22"/>
        </w:rPr>
        <w:t>.</w:t>
      </w:r>
    </w:p>
    <w:p w:rsidR="00206097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Протокол №__ о результатах проведения торгов по продаже имущества, принадлежащег</w:t>
      </w:r>
      <w:proofErr w:type="gramStart"/>
      <w:r w:rsidRPr="00DE10AC">
        <w:rPr>
          <w:sz w:val="22"/>
          <w:szCs w:val="22"/>
        </w:rPr>
        <w:t xml:space="preserve">о </w:t>
      </w:r>
      <w:r w:rsidR="005E571D">
        <w:rPr>
          <w:sz w:val="22"/>
          <w:szCs w:val="22"/>
        </w:rPr>
        <w:t>ООО</w:t>
      </w:r>
      <w:proofErr w:type="gramEnd"/>
      <w:r w:rsidR="005E571D">
        <w:rPr>
          <w:sz w:val="22"/>
          <w:szCs w:val="22"/>
        </w:rPr>
        <w:t xml:space="preserve"> «ТЕСКОМ ЦЕНТР»</w:t>
      </w:r>
      <w:r>
        <w:rPr>
          <w:sz w:val="22"/>
          <w:szCs w:val="22"/>
        </w:rPr>
        <w:t xml:space="preserve"> </w:t>
      </w:r>
      <w:r w:rsidR="005E571D">
        <w:rPr>
          <w:sz w:val="22"/>
          <w:szCs w:val="22"/>
        </w:rPr>
        <w:t>от «__» _______ 2020</w:t>
      </w:r>
      <w:r w:rsidRPr="00DE10AC">
        <w:rPr>
          <w:sz w:val="22"/>
          <w:szCs w:val="22"/>
        </w:rPr>
        <w:t>г.</w:t>
      </w: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Термины и определения</w:t>
      </w:r>
    </w:p>
    <w:p w:rsidR="00206097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целей настоящего Договора Стороны согласовали толкование некоторых терминов и определений:</w:t>
      </w:r>
    </w:p>
    <w:p w:rsidR="00206097" w:rsidRDefault="00206097" w:rsidP="003E5E16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06097">
        <w:rPr>
          <w:rFonts w:ascii="Times New Roman" w:hAnsi="Times New Roman" w:cs="Times New Roman"/>
        </w:rPr>
        <w:t xml:space="preserve">Цедент – </w:t>
      </w:r>
      <w:r w:rsidR="005E571D">
        <w:rPr>
          <w:rFonts w:ascii="Times New Roman" w:hAnsi="Times New Roman" w:cs="Times New Roman"/>
        </w:rPr>
        <w:t>ООО «ТЕСКОМ ЦЕНТР»</w:t>
      </w:r>
      <w:r w:rsidR="0020300A" w:rsidRPr="0020300A">
        <w:rPr>
          <w:rFonts w:ascii="Times New Roman" w:hAnsi="Times New Roman" w:cs="Times New Roman"/>
        </w:rPr>
        <w:t xml:space="preserve"> (</w:t>
      </w:r>
      <w:r w:rsidR="005E571D" w:rsidRPr="006A6AA1">
        <w:rPr>
          <w:rFonts w:ascii="Times New Roman" w:hAnsi="Times New Roman" w:cs="Times New Roman"/>
        </w:rPr>
        <w:t>ОГРН 1067746909262, ИНН 7701671916; 121099, г. Москва, площадь Смоленская, дом 3</w:t>
      </w:r>
      <w:r w:rsidR="000E0853">
        <w:rPr>
          <w:rFonts w:ascii="Times New Roman" w:hAnsi="Times New Roman" w:cs="Times New Roman"/>
        </w:rPr>
        <w:t>)</w:t>
      </w:r>
      <w:r w:rsidR="006A6AA1">
        <w:rPr>
          <w:rFonts w:ascii="Times New Roman" w:hAnsi="Times New Roman" w:cs="Times New Roman"/>
        </w:rPr>
        <w:t>.</w:t>
      </w:r>
    </w:p>
    <w:p w:rsidR="00295971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</w:t>
      </w:r>
      <w:proofErr w:type="gramStart"/>
      <w:r w:rsidRPr="00DC5C9E">
        <w:rPr>
          <w:rFonts w:ascii="Times New Roman" w:hAnsi="Times New Roman" w:cs="Times New Roman"/>
        </w:rPr>
        <w:t xml:space="preserve"> –</w:t>
      </w:r>
      <w:r w:rsidRPr="00206097">
        <w:rPr>
          <w:rFonts w:ascii="Times New Roman" w:hAnsi="Times New Roman" w:cs="Times New Roman"/>
        </w:rPr>
        <w:t>_________________________________________________________</w:t>
      </w:r>
      <w:r w:rsidRPr="00DC5C9E">
        <w:rPr>
          <w:rFonts w:ascii="Times New Roman" w:hAnsi="Times New Roman" w:cs="Times New Roman"/>
        </w:rPr>
        <w:t>;</w:t>
      </w:r>
      <w:proofErr w:type="gramEnd"/>
    </w:p>
    <w:p w:rsidR="00A16D30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Должник –</w:t>
      </w:r>
      <w:r w:rsidR="00A16D30" w:rsidRPr="00DC5C9E">
        <w:rPr>
          <w:rFonts w:ascii="Times New Roman" w:hAnsi="Times New Roman" w:cs="Times New Roman"/>
        </w:rPr>
        <w:t xml:space="preserve"> </w:t>
      </w:r>
      <w:r w:rsidR="00206097">
        <w:rPr>
          <w:rFonts w:ascii="Times New Roman" w:hAnsi="Times New Roman" w:cs="Times New Roman"/>
        </w:rPr>
        <w:t>Общество с ограниченной ответственностью «_____________» (ИНН_________ОГРН_________, юридический адрес</w:t>
      </w:r>
      <w:proofErr w:type="gramStart"/>
      <w:r w:rsidR="00206097">
        <w:rPr>
          <w:rFonts w:ascii="Times New Roman" w:hAnsi="Times New Roman" w:cs="Times New Roman"/>
        </w:rPr>
        <w:t>:____________)</w:t>
      </w:r>
      <w:r w:rsidR="00A16D30" w:rsidRPr="00DC5C9E">
        <w:rPr>
          <w:rFonts w:ascii="Times New Roman" w:hAnsi="Times New Roman" w:cs="Times New Roman"/>
        </w:rPr>
        <w:t>;</w:t>
      </w:r>
      <w:proofErr w:type="gramEnd"/>
    </w:p>
    <w:p w:rsidR="00295971" w:rsidRPr="00DC5C9E" w:rsidRDefault="00B07AC9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Договор – </w:t>
      </w:r>
      <w:r w:rsidR="00985348" w:rsidRPr="00DC5C9E">
        <w:rPr>
          <w:rFonts w:ascii="Times New Roman" w:hAnsi="Times New Roman" w:cs="Times New Roman"/>
        </w:rPr>
        <w:t>договоры, сделки и иные соглашения, на основании которых у Должник</w:t>
      </w:r>
      <w:r w:rsidR="00206097">
        <w:rPr>
          <w:rFonts w:ascii="Times New Roman" w:hAnsi="Times New Roman" w:cs="Times New Roman"/>
        </w:rPr>
        <w:t>а</w:t>
      </w:r>
      <w:r w:rsidR="00985348" w:rsidRPr="00DC5C9E">
        <w:rPr>
          <w:rFonts w:ascii="Times New Roman" w:hAnsi="Times New Roman" w:cs="Times New Roman"/>
        </w:rPr>
        <w:t xml:space="preserve"> возникли денежные обязательства перед Цедентом. </w:t>
      </w:r>
    </w:p>
    <w:p w:rsidR="00416E64" w:rsidRPr="00DC5C9E" w:rsidRDefault="00416E6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(Задолженность) – денежные обязательства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судебными актами.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денежных обязательств, прекращение прав требования Цедента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proofErr w:type="gramStart"/>
      <w:r w:rsidRPr="00DC5C9E">
        <w:rPr>
          <w:rFonts w:ascii="Times New Roman" w:hAnsi="Times New Roman" w:cs="Times New Roman"/>
        </w:rPr>
        <w:t>производится</w:t>
      </w:r>
      <w:proofErr w:type="gramEnd"/>
      <w:r w:rsidRPr="00DC5C9E">
        <w:rPr>
          <w:rFonts w:ascii="Times New Roman" w:hAnsi="Times New Roman" w:cs="Times New Roman"/>
        </w:rPr>
        <w:t xml:space="preserve"> начиная со строчной буквы, что также не влияет на их толкование.</w:t>
      </w:r>
    </w:p>
    <w:p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Предмет Договора</w:t>
      </w:r>
    </w:p>
    <w:p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соответствии с условиями настоящего Договора, Цедент передает, а Цессионарий принимает Права требования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по денежным обязательствам последних, основанные на Договорах.</w:t>
      </w:r>
    </w:p>
    <w:p w:rsidR="003C3681" w:rsidRPr="00DC5C9E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Права требования, являющ</w:t>
      </w:r>
      <w:r w:rsidR="00206097">
        <w:rPr>
          <w:rFonts w:ascii="Times New Roman" w:hAnsi="Times New Roman" w:cs="Times New Roman"/>
        </w:rPr>
        <w:t>и</w:t>
      </w:r>
      <w:r w:rsidRPr="00DC5C9E">
        <w:rPr>
          <w:rFonts w:ascii="Times New Roman" w:hAnsi="Times New Roman" w:cs="Times New Roman"/>
        </w:rPr>
        <w:t>еся предметом настоящего Договора, входя</w:t>
      </w:r>
      <w:r w:rsidR="00206097">
        <w:rPr>
          <w:rFonts w:ascii="Times New Roman" w:hAnsi="Times New Roman" w:cs="Times New Roman"/>
        </w:rPr>
        <w:t>т в состав</w:t>
      </w:r>
      <w:r w:rsidRPr="00DC5C9E">
        <w:rPr>
          <w:rFonts w:ascii="Times New Roman" w:hAnsi="Times New Roman" w:cs="Times New Roman"/>
        </w:rPr>
        <w:t xml:space="preserve"> Лота № </w:t>
      </w:r>
      <w:r w:rsidR="00206097">
        <w:rPr>
          <w:rFonts w:ascii="Times New Roman" w:hAnsi="Times New Roman" w:cs="Times New Roman"/>
        </w:rPr>
        <w:t>___</w:t>
      </w:r>
      <w:r w:rsidRPr="00DC5C9E">
        <w:rPr>
          <w:rFonts w:ascii="Times New Roman" w:hAnsi="Times New Roman" w:cs="Times New Roman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06097">
        <w:rPr>
          <w:rFonts w:ascii="Times New Roman" w:hAnsi="Times New Roman" w:cs="Times New Roman"/>
        </w:rPr>
        <w:t>____</w:t>
      </w:r>
      <w:r w:rsidRPr="00DC5C9E">
        <w:rPr>
          <w:rFonts w:ascii="Times New Roman" w:hAnsi="Times New Roman" w:cs="Times New Roman"/>
        </w:rPr>
        <w:t xml:space="preserve"> (протокол № ________ от _________ 201</w:t>
      </w:r>
      <w:r w:rsidR="00206097">
        <w:rPr>
          <w:rFonts w:ascii="Times New Roman" w:hAnsi="Times New Roman" w:cs="Times New Roman"/>
        </w:rPr>
        <w:t>__</w:t>
      </w:r>
      <w:r w:rsidRPr="00DC5C9E">
        <w:rPr>
          <w:rFonts w:ascii="Times New Roman" w:hAnsi="Times New Roman" w:cs="Times New Roman"/>
        </w:rPr>
        <w:t xml:space="preserve"> года).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:rsidR="0098170C" w:rsidRPr="0020300A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Права и обязанности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обязуется: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уведомить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о переходе Прав требования Цедента к Цессионарию в порядке и сроки,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сообщить Цессионарию обо всех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выполнять иные обязанности, установленные настоящим Договором.</w:t>
      </w:r>
    </w:p>
    <w:p w:rsidR="00320B08" w:rsidRPr="00DC5C9E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Цедент имеет право: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:rsidR="005F2634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</w:t>
      </w:r>
      <w:r w:rsidR="005F2634" w:rsidRPr="00DC5C9E">
        <w:rPr>
          <w:rFonts w:ascii="Times New Roman" w:hAnsi="Times New Roman" w:cs="Times New Roman"/>
        </w:rPr>
        <w:t>обязуется:</w:t>
      </w:r>
    </w:p>
    <w:p w:rsidR="005F2634" w:rsidRPr="00DC5C9E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обязуется выполнять обязанности,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вправе: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передачи всех документов, удостоверяющих Права требования;</w:t>
      </w:r>
    </w:p>
    <w:p w:rsidR="00295971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информации о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b/>
        </w:rPr>
        <w:t>Гарантии и заверения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гарантирует: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отсутствие между ним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уведомление Цессионария о возможных возражениях Должника против требований Цедента, а также о любых утраченных документах, относящихся к уступаемым Правам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DC5C9E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признания договоров, являющихся основанием возникновения дебиторской задолженности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незаключенными или недействительными на дату заключени</w:t>
      </w:r>
      <w:r w:rsidR="00066F16" w:rsidRPr="00DC5C9E">
        <w:rPr>
          <w:rFonts w:ascii="Times New Roman" w:hAnsi="Times New Roman" w:cs="Times New Roman"/>
        </w:rPr>
        <w:t>я договора Цеденту не известны.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гарантирует: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полную оплату совершенной уступки прав требования, на условиях, установленных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соблюдение всех прав Цедента в рамках настоящего Договора;</w:t>
      </w:r>
    </w:p>
    <w:p w:rsidR="00295971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полное, исчерпывающее и достаточное изучение </w:t>
      </w:r>
      <w:proofErr w:type="gramStart"/>
      <w:r w:rsidRPr="00DC5C9E">
        <w:rPr>
          <w:rFonts w:ascii="Times New Roman" w:hAnsi="Times New Roman" w:cs="Times New Roman"/>
        </w:rPr>
        <w:t>оснований возникновения Прав требования Цедента</w:t>
      </w:r>
      <w:proofErr w:type="gramEnd"/>
      <w:r w:rsidRPr="00DC5C9E">
        <w:rPr>
          <w:rFonts w:ascii="Times New Roman" w:hAnsi="Times New Roman" w:cs="Times New Roman"/>
        </w:rPr>
        <w:t xml:space="preserve">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исполнения Договора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</w:t>
      </w:r>
      <w:r w:rsidR="00B8039F">
        <w:rPr>
          <w:rFonts w:ascii="Times New Roman" w:hAnsi="Times New Roman" w:cs="Times New Roman"/>
        </w:rPr>
        <w:t>1</w:t>
      </w:r>
      <w:r w:rsidRPr="00DC5C9E">
        <w:rPr>
          <w:rFonts w:ascii="Times New Roman" w:hAnsi="Times New Roman" w:cs="Times New Roman"/>
        </w:rPr>
        <w:t>0 (</w:t>
      </w:r>
      <w:r w:rsidR="00B8039F">
        <w:rPr>
          <w:rFonts w:ascii="Times New Roman" w:hAnsi="Times New Roman" w:cs="Times New Roman"/>
        </w:rPr>
        <w:t>десяти</w:t>
      </w:r>
      <w:r w:rsidRPr="00DC5C9E">
        <w:rPr>
          <w:rFonts w:ascii="Times New Roman" w:hAnsi="Times New Roman" w:cs="Times New Roman"/>
        </w:rPr>
        <w:t xml:space="preserve">) рабочих дней </w:t>
      </w:r>
      <w:r w:rsidRPr="00DC5C9E">
        <w:rPr>
          <w:rFonts w:ascii="Times New Roman" w:hAnsi="Times New Roman" w:cs="Times New Roman"/>
          <w:lang w:eastAsia="ru-RU"/>
        </w:rPr>
        <w:t>с момента п</w:t>
      </w:r>
      <w:r w:rsidR="00206097">
        <w:rPr>
          <w:rFonts w:ascii="Times New Roman" w:hAnsi="Times New Roman" w:cs="Times New Roman"/>
          <w:lang w:eastAsia="ru-RU"/>
        </w:rPr>
        <w:t xml:space="preserve">оступления денежных средств на </w:t>
      </w:r>
      <w:r w:rsidRPr="00DC5C9E">
        <w:rPr>
          <w:rFonts w:ascii="Times New Roman" w:hAnsi="Times New Roman" w:cs="Times New Roman"/>
          <w:lang w:eastAsia="ru-RU"/>
        </w:rPr>
        <w:t>счет Цедента, указанный в статье 13 настоящего Договора, в соответствии со статьей 6 настоящего Договора</w:t>
      </w:r>
      <w:r w:rsidRPr="00DC5C9E">
        <w:rPr>
          <w:rFonts w:ascii="Times New Roman" w:hAnsi="Times New Roman" w:cs="Times New Roman"/>
        </w:rPr>
        <w:t xml:space="preserve">, Цедент уведомляет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 состоявшейся уступке Прав требования. Уведомление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дату уведомления; 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тему: «Уведомление о состоявшейся уступке прав требования (цессии) по </w:t>
      </w:r>
      <w:r w:rsidRPr="00DC5C9E">
        <w:rPr>
          <w:rFonts w:ascii="Times New Roman" w:hAnsi="Times New Roman" w:cs="Times New Roman"/>
          <w:lang w:eastAsia="ru-RU"/>
        </w:rPr>
        <w:t xml:space="preserve">Договору об уступке прав требования (цессии) от </w:t>
      </w:r>
      <w:r w:rsidR="00206097">
        <w:rPr>
          <w:rFonts w:ascii="Times New Roman" w:hAnsi="Times New Roman" w:cs="Times New Roman"/>
          <w:lang w:eastAsia="ru-RU"/>
        </w:rPr>
        <w:t>___________</w:t>
      </w:r>
      <w:r w:rsidRPr="00DC5C9E">
        <w:rPr>
          <w:rFonts w:ascii="Times New Roman" w:hAnsi="Times New Roman" w:cs="Times New Roman"/>
          <w:lang w:eastAsia="ru-RU"/>
        </w:rPr>
        <w:t xml:space="preserve"> г.</w:t>
      </w:r>
      <w:r w:rsidRPr="00DC5C9E">
        <w:rPr>
          <w:rFonts w:ascii="Times New Roman" w:hAnsi="Times New Roman" w:cs="Times New Roman"/>
        </w:rPr>
        <w:t>»;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подпись Цедента;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оттиск печати Цедента.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10 (десяти) рабочих дней </w:t>
      </w:r>
      <w:r w:rsidRPr="00DC5C9E">
        <w:rPr>
          <w:rFonts w:ascii="Times New Roman" w:hAnsi="Times New Roman" w:cs="Times New Roman"/>
          <w:lang w:eastAsia="ru-RU"/>
        </w:rPr>
        <w:t xml:space="preserve">с момента </w:t>
      </w:r>
      <w:r w:rsidR="00B8039F">
        <w:rPr>
          <w:rFonts w:ascii="Times New Roman" w:hAnsi="Times New Roman" w:cs="Times New Roman"/>
          <w:lang w:eastAsia="ru-RU"/>
        </w:rPr>
        <w:t>полной оплаты</w:t>
      </w:r>
      <w:r w:rsidRPr="00DC5C9E">
        <w:rPr>
          <w:rFonts w:ascii="Times New Roman" w:hAnsi="Times New Roman" w:cs="Times New Roman"/>
          <w:lang w:eastAsia="ru-RU"/>
        </w:rPr>
        <w:t xml:space="preserve"> настоящего Договора </w:t>
      </w:r>
      <w:r w:rsidRPr="00DC5C9E">
        <w:rPr>
          <w:rFonts w:ascii="Times New Roman" w:hAnsi="Times New Roman" w:cs="Times New Roman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у</w:t>
      </w:r>
      <w:r w:rsidRPr="00DC5C9E">
        <w:rPr>
          <w:rFonts w:ascii="Times New Roman" w:hAnsi="Times New Roman" w:cs="Times New Roman"/>
          <w:lang w:eastAsia="ru-RU"/>
        </w:rPr>
        <w:t>, при отсутствии каких-либо документов и невозможности их передачи – указывает, где они находятся и на каком основании</w:t>
      </w:r>
      <w:r w:rsidRPr="00DC5C9E">
        <w:rPr>
          <w:rFonts w:ascii="Times New Roman" w:hAnsi="Times New Roman" w:cs="Times New Roman"/>
        </w:rPr>
        <w:t xml:space="preserve">. </w:t>
      </w:r>
      <w:r w:rsidRPr="00DC5C9E">
        <w:rPr>
          <w:rFonts w:ascii="Times New Roman" w:hAnsi="Times New Roman" w:cs="Times New Roman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Цессионария – в полной оплате Стоимости уступки прав требования.</w:t>
      </w:r>
    </w:p>
    <w:p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проведения расчетов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За уступку Прав требования Цессионарий выплачивает Цеденту денежную сумму в размере </w:t>
      </w:r>
      <w:r w:rsidRPr="00206097">
        <w:rPr>
          <w:rFonts w:ascii="Times New Roman" w:hAnsi="Times New Roman" w:cs="Times New Roman"/>
        </w:rPr>
        <w:t>____________________________________________</w:t>
      </w:r>
      <w:r w:rsidRPr="00DC5C9E">
        <w:rPr>
          <w:rFonts w:ascii="Times New Roman" w:hAnsi="Times New Roman" w:cs="Times New Roman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proofErr w:type="gramStart"/>
      <w:r w:rsidRPr="00DC5C9E">
        <w:rPr>
          <w:rFonts w:ascii="Times New Roman" w:hAnsi="Times New Roman" w:cs="Times New Roman"/>
          <w:spacing w:val="1"/>
        </w:rPr>
        <w:t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</w:t>
      </w:r>
      <w:proofErr w:type="gramEnd"/>
      <w:r w:rsidR="0020300A">
        <w:rPr>
          <w:rFonts w:ascii="Times New Roman" w:hAnsi="Times New Roman" w:cs="Times New Roman"/>
          <w:spacing w:val="1"/>
        </w:rPr>
        <w:t>, указанный в сообщении о проведении торгов,</w:t>
      </w:r>
      <w:r w:rsidRPr="00DC5C9E">
        <w:rPr>
          <w:rFonts w:ascii="Times New Roman" w:hAnsi="Times New Roman" w:cs="Times New Roman"/>
          <w:spacing w:val="1"/>
        </w:rPr>
        <w:t xml:space="preserve"> перечислил денежные средства в </w:t>
      </w:r>
      <w:proofErr w:type="spellStart"/>
      <w:r w:rsidRPr="00DC5C9E">
        <w:rPr>
          <w:rFonts w:ascii="Times New Roman" w:hAnsi="Times New Roman" w:cs="Times New Roman"/>
          <w:spacing w:val="1"/>
        </w:rPr>
        <w:t>размере____________________в</w:t>
      </w:r>
      <w:proofErr w:type="spellEnd"/>
      <w:r w:rsidRPr="00DC5C9E">
        <w:rPr>
          <w:rFonts w:ascii="Times New Roman" w:hAnsi="Times New Roman" w:cs="Times New Roman"/>
          <w:spacing w:val="1"/>
        </w:rPr>
        <w:t xml:space="preserve"> качестве задатка. Указанный в настоящем пункте задаток засчитывается в счёт оплаты Стоимости уступки прав требования.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Цессионарий обязуется внести сумму в размере </w:t>
      </w:r>
      <w:r w:rsidRPr="00DC5C9E">
        <w:rPr>
          <w:rFonts w:ascii="Times New Roman" w:hAnsi="Times New Roman" w:cs="Times New Roman"/>
          <w:b/>
          <w:spacing w:val="1"/>
        </w:rPr>
        <w:t xml:space="preserve">__________________ </w:t>
      </w:r>
      <w:r w:rsidRPr="00DC5C9E">
        <w:rPr>
          <w:rFonts w:ascii="Times New Roman" w:hAnsi="Times New Roman" w:cs="Times New Roman"/>
          <w:spacing w:val="1"/>
        </w:rPr>
        <w:t>в качестве оплаты Стоимости уступки прав требования в течение 30 (тридцати) дней</w:t>
      </w:r>
      <w:r w:rsidRPr="00DC5C9E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DC5C9E">
        <w:rPr>
          <w:rFonts w:ascii="Times New Roman" w:hAnsi="Times New Roman" w:cs="Times New Roman"/>
          <w:spacing w:val="1"/>
        </w:rPr>
        <w:t>со дня подписания настоящего Договора на расчётный счёт Цедента.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lastRenderedPageBreak/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20300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Ответственность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1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Обстоятельства непреодолимой силы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:rsidR="00295971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</w:t>
      </w:r>
      <w:proofErr w:type="gramStart"/>
      <w:r w:rsidRPr="00DC5C9E">
        <w:rPr>
          <w:rFonts w:ascii="Times New Roman" w:hAnsi="Times New Roman" w:cs="Times New Roman"/>
        </w:rPr>
        <w:t>,</w:t>
      </w:r>
      <w:proofErr w:type="gramEnd"/>
      <w:r w:rsidRPr="00DC5C9E">
        <w:rPr>
          <w:rFonts w:ascii="Times New Roman" w:hAnsi="Times New Roman" w:cs="Times New Roman"/>
        </w:rPr>
        <w:t xml:space="preserve">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разрешения споров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отклонения претензии полностью или частично, оставление ее без ответа в предусмотренный п 9.</w:t>
      </w:r>
      <w:r w:rsidR="00E01480">
        <w:rPr>
          <w:rFonts w:ascii="Times New Roman" w:hAnsi="Times New Roman" w:cs="Times New Roman"/>
        </w:rPr>
        <w:t>2</w:t>
      </w:r>
      <w:r w:rsidRPr="00DC5C9E">
        <w:rPr>
          <w:rFonts w:ascii="Times New Roman" w:hAnsi="Times New Roman" w:cs="Times New Roman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DC5C9E">
        <w:rPr>
          <w:rFonts w:ascii="Times New Roman" w:hAnsi="Times New Roman" w:cs="Times New Roman"/>
        </w:rPr>
        <w:t>с действующим законодательством </w:t>
      </w:r>
      <w:r w:rsidRPr="00DC5C9E">
        <w:rPr>
          <w:rFonts w:ascii="Times New Roman" w:hAnsi="Times New Roman" w:cs="Times New Roman"/>
        </w:rPr>
        <w:t>Российской Федерации.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Изменение и прекращение Договора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</w:t>
      </w:r>
      <w:r w:rsidRPr="00DC5C9E">
        <w:rPr>
          <w:rFonts w:ascii="Times New Roman" w:hAnsi="Times New Roman" w:cs="Times New Roman"/>
        </w:rPr>
        <w:lastRenderedPageBreak/>
        <w:t>Сторонами соответствующего дополнительного соглашения.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Прочие условия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8039F">
        <w:rPr>
          <w:rFonts w:ascii="Times New Roman" w:hAnsi="Times New Roman" w:cs="Times New Roman"/>
        </w:rPr>
        <w:t>Все извещения</w:t>
      </w:r>
      <w:r w:rsidRPr="00DC5C9E">
        <w:rPr>
          <w:spacing w:val="-2"/>
        </w:rPr>
        <w:t xml:space="preserve">, </w:t>
      </w:r>
      <w:r w:rsidRPr="00DC5C9E">
        <w:rPr>
          <w:rFonts w:ascii="Times New Roman" w:hAnsi="Times New Roman" w:cs="Times New Roman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DC5C9E">
        <w:rPr>
          <w:rFonts w:ascii="Times New Roman" w:hAnsi="Times New Roman" w:cs="Times New Roman"/>
        </w:rPr>
        <w:t>Joint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Photographic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Expert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Group</w:t>
      </w:r>
      <w:proofErr w:type="spellEnd"/>
      <w:r w:rsidRPr="00DC5C9E">
        <w:rPr>
          <w:rFonts w:ascii="Times New Roman" w:hAnsi="Times New Roman" w:cs="Times New Roman"/>
        </w:rPr>
        <w:t xml:space="preserve"> (JPEG, </w:t>
      </w:r>
      <w:proofErr w:type="spellStart"/>
      <w:r w:rsidRPr="00DC5C9E">
        <w:rPr>
          <w:rFonts w:ascii="Times New Roman" w:hAnsi="Times New Roman" w:cs="Times New Roman"/>
        </w:rPr>
        <w:t>jpg</w:t>
      </w:r>
      <w:proofErr w:type="spellEnd"/>
      <w:r w:rsidRPr="00DC5C9E">
        <w:rPr>
          <w:rFonts w:ascii="Times New Roman" w:hAnsi="Times New Roman" w:cs="Times New Roman"/>
        </w:rPr>
        <w:t xml:space="preserve">) или </w:t>
      </w:r>
      <w:proofErr w:type="spellStart"/>
      <w:r w:rsidRPr="00DC5C9E">
        <w:rPr>
          <w:rFonts w:ascii="Times New Roman" w:hAnsi="Times New Roman" w:cs="Times New Roman"/>
        </w:rPr>
        <w:t>Portable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Document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Format</w:t>
      </w:r>
      <w:proofErr w:type="spellEnd"/>
      <w:r w:rsidRPr="00DC5C9E">
        <w:rPr>
          <w:rFonts w:ascii="Times New Roman" w:hAnsi="Times New Roman" w:cs="Times New Roman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DC5C9E">
        <w:rPr>
          <w:rFonts w:ascii="Times New Roman" w:hAnsi="Times New Roman" w:cs="Times New Roman"/>
        </w:rPr>
        <w:br/>
      </w:r>
    </w:p>
    <w:p w:rsidR="00295971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Адреса, реквизиты и подписи Сторон</w:t>
      </w:r>
    </w:p>
    <w:p w:rsidR="006A6AA1" w:rsidRPr="006A6AA1" w:rsidRDefault="006A6AA1" w:rsidP="006A6AA1">
      <w:pPr>
        <w:ind w:left="709"/>
        <w:rPr>
          <w:b/>
        </w:rPr>
      </w:pPr>
    </w:p>
    <w:tbl>
      <w:tblPr>
        <w:tblW w:w="96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20300A" w:rsidRPr="006D06BF" w:rsidTr="00380EB6">
        <w:trPr>
          <w:trHeight w:val="2928"/>
        </w:trPr>
        <w:tc>
          <w:tcPr>
            <w:tcW w:w="4962" w:type="dxa"/>
          </w:tcPr>
          <w:p w:rsidR="0020300A" w:rsidRDefault="00D00136" w:rsidP="004532A4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ЦЕДЕНТ</w:t>
            </w:r>
            <w:r w:rsidR="0020300A" w:rsidRPr="006D06BF">
              <w:rPr>
                <w:b/>
              </w:rPr>
              <w:t>:</w:t>
            </w:r>
          </w:p>
          <w:p w:rsidR="00D00136" w:rsidRDefault="005E571D" w:rsidP="00D00136">
            <w:pPr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ООО «ТЕСКОМ ЦЕНТР»</w:t>
            </w:r>
            <w:r w:rsidR="00D00136">
              <w:rPr>
                <w:b/>
                <w:spacing w:val="-2"/>
              </w:rPr>
              <w:t xml:space="preserve"> </w:t>
            </w:r>
          </w:p>
          <w:p w:rsidR="006A6AA1" w:rsidRPr="006A6AA1" w:rsidRDefault="006A6AA1" w:rsidP="006A6AA1">
            <w:pPr>
              <w:snapToGrid w:val="0"/>
              <w:ind w:firstLine="33"/>
              <w:rPr>
                <w:b/>
              </w:rPr>
            </w:pPr>
            <w:r w:rsidRPr="006A6AA1">
              <w:rPr>
                <w:b/>
              </w:rPr>
              <w:t xml:space="preserve">ОГРН  1067746909262 </w:t>
            </w:r>
          </w:p>
          <w:p w:rsidR="006A6AA1" w:rsidRPr="006A6AA1" w:rsidRDefault="006A6AA1" w:rsidP="006A6AA1">
            <w:pPr>
              <w:snapToGrid w:val="0"/>
              <w:ind w:firstLine="33"/>
              <w:rPr>
                <w:b/>
              </w:rPr>
            </w:pPr>
            <w:r w:rsidRPr="006A6AA1">
              <w:rPr>
                <w:b/>
              </w:rPr>
              <w:t xml:space="preserve">ИНН/КПП: 7701671916 / 770401001 </w:t>
            </w:r>
          </w:p>
          <w:p w:rsidR="006A6AA1" w:rsidRPr="006A6AA1" w:rsidRDefault="006A6AA1" w:rsidP="006A6AA1">
            <w:pPr>
              <w:snapToGrid w:val="0"/>
              <w:ind w:firstLine="33"/>
              <w:rPr>
                <w:b/>
              </w:rPr>
            </w:pPr>
            <w:r w:rsidRPr="006A6AA1">
              <w:rPr>
                <w:b/>
              </w:rPr>
              <w:t>121099, г</w:t>
            </w:r>
            <w:r>
              <w:rPr>
                <w:b/>
              </w:rPr>
              <w:t xml:space="preserve"> Москва, площадь Смоленская, дом</w:t>
            </w:r>
            <w:r w:rsidRPr="006A6AA1">
              <w:rPr>
                <w:b/>
              </w:rPr>
              <w:t xml:space="preserve"> 3 </w:t>
            </w:r>
          </w:p>
          <w:p w:rsidR="006A6AA1" w:rsidRPr="006A6AA1" w:rsidRDefault="006A6AA1" w:rsidP="006A6AA1">
            <w:pPr>
              <w:snapToGrid w:val="0"/>
              <w:ind w:firstLine="33"/>
              <w:rPr>
                <w:b/>
              </w:rPr>
            </w:pPr>
            <w:r w:rsidRPr="006A6AA1">
              <w:rPr>
                <w:b/>
              </w:rPr>
              <w:t>Расчетный счет  № 40702810220100002932 в  ПАО «</w:t>
            </w:r>
            <w:proofErr w:type="spellStart"/>
            <w:r w:rsidRPr="006A6AA1">
              <w:rPr>
                <w:b/>
              </w:rPr>
              <w:t>Транскапиталбанк</w:t>
            </w:r>
            <w:proofErr w:type="spellEnd"/>
            <w:r w:rsidRPr="006A6AA1">
              <w:rPr>
                <w:b/>
              </w:rPr>
              <w:t>»</w:t>
            </w:r>
          </w:p>
          <w:p w:rsidR="006A6AA1" w:rsidRPr="006A6AA1" w:rsidRDefault="006A6AA1" w:rsidP="006A6AA1">
            <w:pPr>
              <w:snapToGrid w:val="0"/>
              <w:ind w:firstLine="33"/>
              <w:rPr>
                <w:b/>
              </w:rPr>
            </w:pPr>
            <w:r w:rsidRPr="006A6AA1">
              <w:rPr>
                <w:b/>
              </w:rPr>
              <w:t>К/</w:t>
            </w:r>
            <w:proofErr w:type="spellStart"/>
            <w:r w:rsidRPr="006A6AA1">
              <w:rPr>
                <w:b/>
              </w:rPr>
              <w:t>сч</w:t>
            </w:r>
            <w:proofErr w:type="spellEnd"/>
            <w:r w:rsidRPr="006A6AA1">
              <w:rPr>
                <w:b/>
              </w:rPr>
              <w:t xml:space="preserve"> 30101810800000000388</w:t>
            </w:r>
            <w:r w:rsidRPr="006A6AA1">
              <w:rPr>
                <w:b/>
              </w:rPr>
              <w:br/>
              <w:t>в ГУ Банка России по ЦФО</w:t>
            </w:r>
            <w:r w:rsidRPr="006A6AA1">
              <w:rPr>
                <w:b/>
              </w:rPr>
              <w:br/>
            </w:r>
            <w:r w:rsidRPr="006A6AA1">
              <w:rPr>
                <w:b/>
              </w:rPr>
              <w:br/>
              <w:t xml:space="preserve">БИК 044525388 </w:t>
            </w:r>
          </w:p>
          <w:p w:rsidR="003E7A6F" w:rsidRPr="006A6AA1" w:rsidRDefault="003E7A6F" w:rsidP="006A6AA1">
            <w:pPr>
              <w:snapToGrid w:val="0"/>
              <w:ind w:firstLine="33"/>
              <w:rPr>
                <w:b/>
              </w:rPr>
            </w:pPr>
          </w:p>
          <w:p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  <w:r w:rsidRPr="007C057C">
              <w:rPr>
                <w:b/>
                <w:spacing w:val="-2"/>
              </w:rPr>
              <w:t>Конкурсн</w:t>
            </w:r>
            <w:r>
              <w:rPr>
                <w:b/>
                <w:spacing w:val="-2"/>
              </w:rPr>
              <w:t>ый</w:t>
            </w:r>
            <w:r w:rsidRPr="007C057C">
              <w:rPr>
                <w:b/>
                <w:spacing w:val="-2"/>
              </w:rPr>
              <w:t xml:space="preserve"> управляющ</w:t>
            </w:r>
            <w:r>
              <w:rPr>
                <w:b/>
                <w:spacing w:val="-2"/>
              </w:rPr>
              <w:t>ий</w:t>
            </w:r>
          </w:p>
          <w:p w:rsidR="003E7A6F" w:rsidRPr="007C057C" w:rsidRDefault="005E571D" w:rsidP="003E7A6F">
            <w:pPr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ООО «ТЕСКОМ ЦЕНТР»</w:t>
            </w:r>
          </w:p>
          <w:p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</w:p>
          <w:p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  <w:r w:rsidRPr="007C057C">
              <w:rPr>
                <w:b/>
                <w:spacing w:val="-2"/>
              </w:rPr>
              <w:t xml:space="preserve">__________________/ </w:t>
            </w:r>
            <w:r w:rsidR="005E571D">
              <w:rPr>
                <w:b/>
                <w:spacing w:val="-2"/>
              </w:rPr>
              <w:t>Кузнецов И.Б.</w:t>
            </w:r>
            <w:r w:rsidRPr="007C057C">
              <w:rPr>
                <w:b/>
                <w:spacing w:val="-2"/>
              </w:rPr>
              <w:t>/</w:t>
            </w:r>
          </w:p>
          <w:p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</w:p>
          <w:p w:rsidR="003E7A6F" w:rsidRDefault="003E7A6F" w:rsidP="003E7A6F">
            <w:pPr>
              <w:rPr>
                <w:bCs/>
                <w:iCs/>
              </w:rPr>
            </w:pPr>
            <w:r w:rsidRPr="007C057C">
              <w:rPr>
                <w:b/>
                <w:spacing w:val="-2"/>
              </w:rPr>
              <w:t>М.П.</w:t>
            </w:r>
            <w:r w:rsidRPr="006D06BF">
              <w:rPr>
                <w:bCs/>
                <w:iCs/>
              </w:rPr>
              <w:t xml:space="preserve"> </w:t>
            </w:r>
          </w:p>
          <w:p w:rsidR="0020300A" w:rsidRDefault="0020300A" w:rsidP="00D00136">
            <w:pPr>
              <w:rPr>
                <w:bCs/>
                <w:iCs/>
              </w:rPr>
            </w:pPr>
          </w:p>
          <w:p w:rsidR="0020300A" w:rsidRPr="006D06BF" w:rsidRDefault="0020300A" w:rsidP="004532A4">
            <w:pPr>
              <w:rPr>
                <w:rStyle w:val="paragraph"/>
                <w:bCs/>
                <w:iCs/>
              </w:rPr>
            </w:pPr>
          </w:p>
        </w:tc>
        <w:tc>
          <w:tcPr>
            <w:tcW w:w="4643" w:type="dxa"/>
          </w:tcPr>
          <w:p w:rsidR="0020300A" w:rsidRPr="006D06BF" w:rsidRDefault="00D00136" w:rsidP="004532A4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ЦЕССИОНАРИЙ</w:t>
            </w:r>
            <w:r w:rsidR="0020300A" w:rsidRPr="006D06BF">
              <w:rPr>
                <w:b/>
              </w:rPr>
              <w:t>:</w:t>
            </w:r>
          </w:p>
          <w:p w:rsidR="0020300A" w:rsidRPr="006D06BF" w:rsidRDefault="0020300A" w:rsidP="004532A4">
            <w:pPr>
              <w:ind w:firstLine="567"/>
              <w:rPr>
                <w:rFonts w:eastAsia="Lucida Sans Unicode"/>
                <w:kern w:val="2"/>
              </w:rPr>
            </w:pPr>
          </w:p>
          <w:p w:rsidR="0020300A" w:rsidRPr="006D06BF" w:rsidRDefault="0020300A" w:rsidP="004532A4">
            <w:pPr>
              <w:ind w:firstLine="567"/>
              <w:rPr>
                <w:rFonts w:eastAsia="Lucida Sans Unicode"/>
                <w:kern w:val="2"/>
              </w:rPr>
            </w:pPr>
          </w:p>
        </w:tc>
      </w:tr>
    </w:tbl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sectPr w:rsidR="000E0853" w:rsidSect="00DC5C9E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0B7" w:rsidRDefault="009A20B7" w:rsidP="00755B0A">
      <w:r>
        <w:separator/>
      </w:r>
    </w:p>
  </w:endnote>
  <w:endnote w:type="continuationSeparator" w:id="0">
    <w:p w:rsidR="009A20B7" w:rsidRDefault="009A20B7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0B7" w:rsidRDefault="009A20B7" w:rsidP="00755B0A">
      <w:r>
        <w:separator/>
      </w:r>
    </w:p>
  </w:footnote>
  <w:footnote w:type="continuationSeparator" w:id="0">
    <w:p w:rsidR="009A20B7" w:rsidRDefault="009A20B7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853" w:rsidRDefault="000E0853" w:rsidP="00DC5C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7FE"/>
    <w:multiLevelType w:val="hybridMultilevel"/>
    <w:tmpl w:val="546C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54115AB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55A"/>
    <w:multiLevelType w:val="hybridMultilevel"/>
    <w:tmpl w:val="87006F4A"/>
    <w:lvl w:ilvl="0" w:tplc="FE361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25C5D"/>
    <w:multiLevelType w:val="hybridMultilevel"/>
    <w:tmpl w:val="36EC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6">
    <w:nsid w:val="28464FF6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>
    <w:nsid w:val="326221AA"/>
    <w:multiLevelType w:val="hybridMultilevel"/>
    <w:tmpl w:val="421691D4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C209A"/>
    <w:multiLevelType w:val="hybridMultilevel"/>
    <w:tmpl w:val="C3AAF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55AD7"/>
    <w:multiLevelType w:val="hybridMultilevel"/>
    <w:tmpl w:val="C0C0F896"/>
    <w:lvl w:ilvl="0" w:tplc="13726C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0DE54CA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62221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642EB"/>
    <w:multiLevelType w:val="hybridMultilevel"/>
    <w:tmpl w:val="045A4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6">
    <w:nsid w:val="4F9960B8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630D5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742C3"/>
    <w:multiLevelType w:val="hybridMultilevel"/>
    <w:tmpl w:val="BF8C1606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50D7343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E4484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61CFD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2C1221"/>
    <w:multiLevelType w:val="hybridMultilevel"/>
    <w:tmpl w:val="74D47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9627A"/>
    <w:multiLevelType w:val="hybridMultilevel"/>
    <w:tmpl w:val="5FA47818"/>
    <w:lvl w:ilvl="0" w:tplc="31C8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BF6684"/>
    <w:multiLevelType w:val="hybridMultilevel"/>
    <w:tmpl w:val="54C6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94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26"/>
  </w:num>
  <w:num w:numId="5">
    <w:abstractNumId w:val="5"/>
  </w:num>
  <w:num w:numId="6">
    <w:abstractNumId w:val="1"/>
  </w:num>
  <w:num w:numId="7">
    <w:abstractNumId w:val="15"/>
  </w:num>
  <w:num w:numId="8">
    <w:abstractNumId w:val="25"/>
  </w:num>
  <w:num w:numId="9">
    <w:abstractNumId w:val="14"/>
  </w:num>
  <w:num w:numId="10">
    <w:abstractNumId w:val="4"/>
  </w:num>
  <w:num w:numId="11">
    <w:abstractNumId w:val="0"/>
  </w:num>
  <w:num w:numId="12">
    <w:abstractNumId w:val="10"/>
  </w:num>
  <w:num w:numId="13">
    <w:abstractNumId w:val="24"/>
  </w:num>
  <w:num w:numId="14">
    <w:abstractNumId w:val="23"/>
  </w:num>
  <w:num w:numId="15">
    <w:abstractNumId w:val="19"/>
  </w:num>
  <w:num w:numId="16">
    <w:abstractNumId w:val="16"/>
  </w:num>
  <w:num w:numId="17">
    <w:abstractNumId w:val="2"/>
  </w:num>
  <w:num w:numId="18">
    <w:abstractNumId w:val="17"/>
  </w:num>
  <w:num w:numId="19">
    <w:abstractNumId w:val="6"/>
  </w:num>
  <w:num w:numId="20">
    <w:abstractNumId w:val="20"/>
  </w:num>
  <w:num w:numId="21">
    <w:abstractNumId w:val="9"/>
  </w:num>
  <w:num w:numId="22">
    <w:abstractNumId w:val="12"/>
  </w:num>
  <w:num w:numId="23">
    <w:abstractNumId w:val="21"/>
  </w:num>
  <w:num w:numId="24">
    <w:abstractNumId w:val="13"/>
  </w:num>
  <w:num w:numId="25">
    <w:abstractNumId w:val="22"/>
  </w:num>
  <w:num w:numId="26">
    <w:abstractNumId w:val="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0"/>
    <w:rsid w:val="000437EE"/>
    <w:rsid w:val="00066F16"/>
    <w:rsid w:val="000E0853"/>
    <w:rsid w:val="000E53A3"/>
    <w:rsid w:val="00196F8E"/>
    <w:rsid w:val="0020300A"/>
    <w:rsid w:val="00206097"/>
    <w:rsid w:val="00232067"/>
    <w:rsid w:val="00240BFC"/>
    <w:rsid w:val="00295971"/>
    <w:rsid w:val="002C1FE4"/>
    <w:rsid w:val="003149A3"/>
    <w:rsid w:val="00320B08"/>
    <w:rsid w:val="0035039C"/>
    <w:rsid w:val="00380EB6"/>
    <w:rsid w:val="003B2419"/>
    <w:rsid w:val="003C3681"/>
    <w:rsid w:val="003C38FA"/>
    <w:rsid w:val="003E5E16"/>
    <w:rsid w:val="003E7A6F"/>
    <w:rsid w:val="00416E64"/>
    <w:rsid w:val="004D35DD"/>
    <w:rsid w:val="005E571D"/>
    <w:rsid w:val="005F2634"/>
    <w:rsid w:val="006A6AA1"/>
    <w:rsid w:val="00710CBD"/>
    <w:rsid w:val="00747FCB"/>
    <w:rsid w:val="00755B0A"/>
    <w:rsid w:val="00757E47"/>
    <w:rsid w:val="0082416C"/>
    <w:rsid w:val="008448CE"/>
    <w:rsid w:val="00900A71"/>
    <w:rsid w:val="0098170C"/>
    <w:rsid w:val="00985348"/>
    <w:rsid w:val="009A20B7"/>
    <w:rsid w:val="00A16D30"/>
    <w:rsid w:val="00B07AC9"/>
    <w:rsid w:val="00B8039F"/>
    <w:rsid w:val="00BC3B08"/>
    <w:rsid w:val="00CB585B"/>
    <w:rsid w:val="00CF5033"/>
    <w:rsid w:val="00D00136"/>
    <w:rsid w:val="00DC5C9E"/>
    <w:rsid w:val="00DD2D50"/>
    <w:rsid w:val="00E01480"/>
    <w:rsid w:val="00E7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nhideWhenUsed/>
    <w:rsid w:val="00710C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nhideWhenUsed/>
    <w:rsid w:val="00710C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2551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Генрих</dc:creator>
  <cp:lastModifiedBy>GF</cp:lastModifiedBy>
  <cp:revision>4</cp:revision>
  <dcterms:created xsi:type="dcterms:W3CDTF">2020-01-24T16:40:00Z</dcterms:created>
  <dcterms:modified xsi:type="dcterms:W3CDTF">2020-01-24T17:40:00Z</dcterms:modified>
</cp:coreProperties>
</file>