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5"/>
        <w:gridCol w:w="1500"/>
      </w:tblGrid>
      <w:tr w:rsidR="00FF051C" w:rsidRPr="00FF051C" w:rsidTr="00FF051C">
        <w:trPr>
          <w:tblCellSpacing w:w="0" w:type="dxa"/>
        </w:trPr>
        <w:tc>
          <w:tcPr>
            <w:tcW w:w="0" w:type="auto"/>
            <w:vAlign w:val="center"/>
            <w:hideMark/>
          </w:tcPr>
          <w:p w:rsidR="00FF051C" w:rsidRPr="00FF051C" w:rsidRDefault="00FF051C" w:rsidP="00FF051C">
            <w:pPr>
              <w:spacing w:after="15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C82F10"/>
                <w:kern w:val="36"/>
                <w:lang w:eastAsia="ru-RU"/>
              </w:rPr>
            </w:pPr>
            <w:r w:rsidRPr="00FF051C">
              <w:rPr>
                <w:rFonts w:ascii="Times New Roman" w:eastAsia="Times New Roman" w:hAnsi="Times New Roman" w:cs="Times New Roman"/>
                <w:b/>
                <w:bCs/>
                <w:color w:val="C82F10"/>
                <w:kern w:val="36"/>
                <w:lang w:eastAsia="ru-RU"/>
              </w:rPr>
              <w:t>Об определении начальной продажной цены, утверждении порядка и условий проведения торгов по реализации предмета залога, порядка и условий обеспечения сохранности предмета залога</w:t>
            </w:r>
          </w:p>
        </w:tc>
        <w:tc>
          <w:tcPr>
            <w:tcW w:w="1500" w:type="dxa"/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93"/>
              <w:gridCol w:w="408"/>
            </w:tblGrid>
            <w:tr w:rsidR="00FF051C" w:rsidRPr="00FF051C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1455" cy="211455"/>
                        <wp:effectExtent l="0" t="0" r="0" b="0"/>
                        <wp:docPr id="2" name="Рисунок 2" descr="https://bankrot.fedresurs.ru/img/icons/license22.png">
                          <a:hlinkClick xmlns:a="http://schemas.openxmlformats.org/drawingml/2006/main" r:id="rId6" tooltip="&quot;Скачать сертификат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bankrot.fedresurs.ru/img/icons/license22.png">
                                  <a:hlinkClick r:id="rId6" tooltip="&quot;Скачать сертификат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11455" cy="211455"/>
                        <wp:effectExtent l="0" t="0" r="0" b="0"/>
                        <wp:docPr id="1" name="Рисунок 1" descr="https://bankrot.fedresurs.ru/img/icons/print2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BodyPlaceHolder_lnkPrint" descr="https://bankrot.fedresurs.ru/img/icons/print2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1455" cy="211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051C" w:rsidRPr="00FF051C" w:rsidTr="00FF051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F051C" w:rsidRPr="00FF051C" w:rsidRDefault="00FF051C" w:rsidP="00FF0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F051C" w:rsidRPr="00FF051C" w:rsidRDefault="00FF051C" w:rsidP="00FF051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051C" w:rsidRPr="00FF051C" w:rsidTr="00FF051C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4341183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Дата публикации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07.11.2019</w:t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F051C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Должник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Наименование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ОБЩЕСТВО С ОГРАНИЧЕННОЙ ОТВЕТСТВЕННОСТЬЮ "БИЗНЕС ЦЕНТР"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153535, РАЙОН ИВАНОВСКИЙ, ДЕРЕВНЯ КРУТОВО, ДОМ 1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ОГРН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1113702037240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3711029972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А17-4870/2018</w:t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F051C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Кем опубликовано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Иризов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 Аркадий 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Зубанилович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(ИНН 070504467310,  СНИЛС 115-162-101 00)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 для корреспонденции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344002, г. Ростов-на-Дону, пр. Буденновский, 50, а/я 441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Ассоциация МСРО "Содействие" - Ассоциация "Межрегиональная саморегулируемая организация арбитражных управляющих "Содействие" (ИНН 5752030226,  ОГРН 1025700780071)</w:t>
                  </w:r>
                </w:p>
              </w:tc>
            </w:tr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Адрес 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302004, Орловская область, г. Орел, ул. 3-я Курская, д.15, помещение 6, оф.14</w:t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F051C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Публикуемые сведения</w:t>
            </w:r>
          </w:p>
          <w:tbl>
            <w:tblPr>
              <w:tblW w:w="14430" w:type="dxa"/>
              <w:tblInd w:w="1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400"/>
            </w:tblGrid>
            <w:tr w:rsidR="00FF051C" w:rsidRPr="00FF051C" w:rsidTr="00FF051C">
              <w:tc>
                <w:tcPr>
                  <w:tcW w:w="3030" w:type="dxa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Электронная площадка "Всероссийская Электронная Торговая Площадка"</w:t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F051C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t>Текст:</w:t>
            </w:r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</w:r>
            <w:proofErr w:type="gram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Решением Арбитражного суда Ивановской области по делу № А17-4870/2018 от 19.02.2019г. (Дата публикации- 20.02.2018г.) в отношении Общества с ограниченной ответственностью «Бизнес Центр» (ИНН 3711029972, ОГРН 1113702037240, регистрационный номер ПФ РФ- 047009072542 адрес: 153535, Ивановская область, Ивановский район, деревня </w:t>
            </w:r>
            <w:proofErr w:type="spell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Крутово</w:t>
            </w:r>
            <w:proofErr w:type="spell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, д. 1) признано банкротом, введена процедура, применяемая в деле о банкротстве-конкурсное производство.</w:t>
            </w:r>
            <w:proofErr w:type="gram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Конкурсным управляющим утвержден </w:t>
            </w:r>
            <w:proofErr w:type="spell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Иризов</w:t>
            </w:r>
            <w:proofErr w:type="spell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Аркадий </w:t>
            </w:r>
            <w:proofErr w:type="spell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Зубанилович</w:t>
            </w:r>
            <w:proofErr w:type="spell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(ИНН 070504467310, СНИЛС 11516210100, адрес корреспонденции: 344002, г. Ростов-на-Дону, пр.</w:t>
            </w:r>
            <w:proofErr w:type="gram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Буденновский, д. 50, а/я 441, электронный адрес – pravo6100@mail.ru), член Ассоциации МСРО «Содействие» (302004, г. Орел, 3-я Курская 15, помещение 6, оф.14, ОГРН 1025700780071, ИНН 5752030226, государственный регистрационный номер 003).</w:t>
            </w:r>
            <w:proofErr w:type="gram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 xml:space="preserve">Согласно Федерального закона "О несостоятельности (банкротстве)" от 26.10.2002г. №127-ФЗ конкурсный управляющий информирует об утверждении начальной продажной цены и Положения о порядке, сроках и условиях совместной продажи имущества, находящего в залоге ООО «СБК ПАРИТЕТ», и </w:t>
            </w:r>
            <w:proofErr w:type="spell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незалогового</w:t>
            </w:r>
            <w:proofErr w:type="spell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имущества, принадлежащег</w:t>
            </w:r>
            <w:proofErr w:type="gramStart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>о ООО</w:t>
            </w:r>
            <w:proofErr w:type="gramEnd"/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t xml:space="preserve"> «БИЗНЕС-ЦЕНТР».</w:t>
            </w:r>
          </w:p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4"/>
              <w:gridCol w:w="5060"/>
              <w:gridCol w:w="1171"/>
              <w:gridCol w:w="2220"/>
            </w:tblGrid>
            <w:tr w:rsidR="00FF051C" w:rsidRPr="00FF051C" w:rsidTr="00FF051C">
              <w:tc>
                <w:tcPr>
                  <w:tcW w:w="1845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474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Описание</w:t>
                  </w:r>
                </w:p>
              </w:tc>
              <w:tc>
                <w:tcPr>
                  <w:tcW w:w="225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 xml:space="preserve">Начальная цена,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474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b/>
                      <w:bCs/>
                      <w:sz w:val="17"/>
                      <w:szCs w:val="17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FF051C" w:rsidRPr="00FF051C" w:rsidTr="00FF051C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Здание (насосная), назначение – нежилое. 1-этажное (подземных этажей – 0), площадью 114,9 кв. м., находящееся по адресу: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Ивановская область, Ивановский район, д.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, кадастровый (условный) номер: 37:05:031012:208; Сооружение (скважина-3), глубина 120м., находящееся по адресу: </w:t>
                  </w: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Ивановская область, Ивановский район, д.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 кадастровый (условный) номер: 37:05:031012:248; Здание (торговый комплекс), назначение – нежилое, 2-этажное (подземных этажей – 0), площадью 4691,4 кв. м., лит.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А, А</w:t>
                  </w: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1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, А2, А3, находящееся по адресу: Ивановская область, Ивановский район, д.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, кадастровый (условный) номер: 37:05:031012:142; Земельный участок. Разрешенное использование: - для размещения нежилых строений. Кадастровый номер: 37:05:031064:63, Площадь 22 661,0 кв. м., Адрес: Ивановская область, Ивановский район, д.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Крутово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. Общая долевая собственность, доля в праве ½; Вентиляция торговых павильонов; Киоск КПП; Наружные сети (электрические,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водопровод</w:t>
                  </w: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,к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анализация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); Наружный газопровод, ГРПШ (1/2 доли); Ограждение автостоянки; Система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громкоговорительной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связи; Система ОПС; Трансформатор электрический мощностью 630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кВа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, доля в праве общей собственности 24/100; Уличная парковка; Уличная парковка; Уличная парковка; Уличная парковка; Уличная парковка; </w:t>
                  </w: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Уличная парковка; Автомобиль Шевроле Кобальт, 2013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г.в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., VIN XWBJA69VJEA011388; Пресс вакуумный; Установка для очистки сточных вод БИОКСИ-15, доля в праве собственности ¼; Автобус Богдан А09204,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дв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. 713900; Автобус Богдан А09204,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двиг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720641; Трактор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Беларус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82.1; Трактор </w:t>
                  </w:r>
                  <w:proofErr w:type="spell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>Беларус</w:t>
                  </w:r>
                  <w:proofErr w:type="spell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82.1; Автобус Богдан А09204; Ковш погрузочный ПКУ-0,8-05-01 (усиленный); Отвал КО – 2А коммунальный технический;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 Щеточное оборудование УДМУ 80/82 Люкс; Компрессор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lastRenderedPageBreak/>
                    <w:t>82 847 970,00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hideMark/>
                </w:tcPr>
                <w:p w:rsidR="00FF051C" w:rsidRPr="00FF051C" w:rsidRDefault="00FF051C" w:rsidP="00FF051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</w:pP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 xml:space="preserve">Здания (кроме </w:t>
                  </w:r>
                  <w:proofErr w:type="gramStart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жилых</w:t>
                  </w:r>
                  <w:proofErr w:type="gramEnd"/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t>) и сооружения, не включенные в другие группировки</w:t>
                  </w: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Автомобили</w:t>
                  </w: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Автобусы, микроавтобусы</w:t>
                  </w: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Специализированная техника</w:t>
                  </w: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Земельные участки</w:t>
                  </w:r>
                  <w:r w:rsidRPr="00FF051C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ru-RU"/>
                    </w:rPr>
                    <w:br/>
                    <w:t>Прочее</w:t>
                  </w:r>
                </w:p>
              </w:tc>
            </w:tr>
          </w:tbl>
          <w:p w:rsidR="00FF051C" w:rsidRPr="00FF051C" w:rsidRDefault="00FF051C" w:rsidP="00FF05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</w:pPr>
            <w:r w:rsidRPr="00FF051C">
              <w:rPr>
                <w:rFonts w:ascii="Tahoma" w:eastAsia="Times New Roman" w:hAnsi="Tahoma" w:cs="Tahoma"/>
                <w:b/>
                <w:bCs/>
                <w:color w:val="333333"/>
                <w:sz w:val="17"/>
                <w:szCs w:val="17"/>
                <w:lang w:eastAsia="ru-RU"/>
              </w:rPr>
              <w:lastRenderedPageBreak/>
              <w:t>Условия обеспечения сохранности предмета залога:</w:t>
            </w:r>
            <w:r w:rsidRPr="00FF051C">
              <w:rPr>
                <w:rFonts w:ascii="Tahoma" w:eastAsia="Times New Roman" w:hAnsi="Tahoma" w:cs="Tahoma"/>
                <w:color w:val="333333"/>
                <w:sz w:val="17"/>
                <w:szCs w:val="17"/>
                <w:lang w:eastAsia="ru-RU"/>
              </w:rPr>
              <w:br/>
              <w:t>Договор № О0014-2019 на оказание охранных услуг от 01.06.2019г.</w:t>
            </w:r>
          </w:p>
        </w:tc>
      </w:tr>
    </w:tbl>
    <w:p w:rsidR="00FF051C" w:rsidRPr="00FF051C" w:rsidRDefault="00FF051C" w:rsidP="00FF051C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 w:rsidRPr="00FF051C">
        <w:rPr>
          <w:rFonts w:ascii="Times New Roman" w:eastAsia="Times New Roman" w:hAnsi="Times New Roman" w:cs="Times New Roman"/>
          <w:sz w:val="19"/>
          <w:szCs w:val="19"/>
          <w:lang w:eastAsia="ru-RU"/>
        </w:rPr>
        <w:lastRenderedPageBreak/>
        <w:t>Прикреплённые файлы</w:t>
      </w:r>
    </w:p>
    <w:p w:rsidR="00FF051C" w:rsidRPr="00FF051C" w:rsidRDefault="00FF051C" w:rsidP="00FF05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F051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Положение о торгах Б</w:t>
        </w:r>
        <w:bookmarkStart w:id="0" w:name="_GoBack"/>
        <w:bookmarkEnd w:id="0"/>
        <w:r w:rsidRPr="00FF051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и</w:t>
        </w:r>
        <w:r w:rsidRPr="00FF051C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знес-Центр.pdf</w:t>
        </w:r>
      </w:hyperlink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3"/>
      </w:tblGrid>
      <w:tr w:rsidR="00FF051C" w:rsidRPr="00FF051C" w:rsidTr="00FF051C">
        <w:trPr>
          <w:tblCellSpacing w:w="37" w:type="dxa"/>
        </w:trPr>
        <w:tc>
          <w:tcPr>
            <w:tcW w:w="0" w:type="auto"/>
            <w:vAlign w:val="center"/>
            <w:hideMark/>
          </w:tcPr>
          <w:p w:rsidR="00FF051C" w:rsidRPr="00FF051C" w:rsidRDefault="00FF051C" w:rsidP="00FF0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</w:pPr>
            <w:r w:rsidRPr="00FF051C">
              <w:rPr>
                <w:rFonts w:ascii="Times New Roman" w:eastAsia="Times New Roman" w:hAnsi="Times New Roman" w:cs="Times New Roman"/>
                <w:color w:val="666666"/>
                <w:sz w:val="17"/>
                <w:szCs w:val="17"/>
                <w:lang w:eastAsia="ru-RU"/>
              </w:rPr>
              <w:t>Включение сведений, подлежащих опубликованию в соответствии с Федеральным законом от 26 октября 2002 г. № 127-ФЗ «О несостоятельности (банкротстве)» в Единый федеральный реестр сведений о банкротстве, осуществляется с 1 апреля 2011 г. (пункт 2 статьи 4 Федерального закона от 28 декабря 2010 г. № 429-ФЗ)</w:t>
            </w:r>
          </w:p>
        </w:tc>
      </w:tr>
    </w:tbl>
    <w:p w:rsidR="00BE5DFF" w:rsidRDefault="00BE5DFF"/>
    <w:sectPr w:rsidR="00BE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877FE"/>
    <w:multiLevelType w:val="multilevel"/>
    <w:tmpl w:val="318E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BE5DFF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05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05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5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F05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0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0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4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90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73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ot.fedresurs.ru/MessageCertificate.aspx?ID=FED697323E2EA4F94AB4449FDC04DE8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nkrot.fedresurs.ru/Download/file.fo?id=2457062&amp;type=Message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1</cp:revision>
  <dcterms:created xsi:type="dcterms:W3CDTF">2019-11-22T11:29:00Z</dcterms:created>
  <dcterms:modified xsi:type="dcterms:W3CDTF">2019-11-22T11:50:00Z</dcterms:modified>
</cp:coreProperties>
</file>